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883"/>
        <w:rPr>
          <w:sz w:val="20"/>
        </w:rPr>
      </w:pPr>
      <w:r>
        <w:rPr>
          <w:sz w:val="20"/>
        </w:rPr>
        <w:drawing>
          <wp:inline distT="0" distB="0" distL="0" distR="0">
            <wp:extent cx="2505944" cy="1054607"/>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505944" cy="1054607"/>
                    </a:xfrm>
                    <a:prstGeom prst="rect">
                      <a:avLst/>
                    </a:prstGeom>
                  </pic:spPr>
                </pic:pic>
              </a:graphicData>
            </a:graphic>
          </wp:inline>
        </w:drawing>
      </w:r>
      <w:r>
        <w:rPr>
          <w:sz w:val="20"/>
        </w:rPr>
      </w:r>
    </w:p>
    <w:p>
      <w:pPr>
        <w:pStyle w:val="BodyText"/>
        <w:spacing w:before="20"/>
        <w:ind w:left="0"/>
      </w:pPr>
    </w:p>
    <w:p>
      <w:pPr>
        <w:pStyle w:val="Heading1"/>
        <w:spacing w:line="259" w:lineRule="auto" w:before="1"/>
        <w:ind w:left="1234" w:right="1255"/>
        <w:jc w:val="center"/>
      </w:pPr>
      <w:r>
        <w:rPr>
          <w:u w:val="single"/>
        </w:rPr>
        <w:t>Proposed</w:t>
      </w:r>
      <w:r>
        <w:rPr>
          <w:spacing w:val="-7"/>
          <w:u w:val="single"/>
        </w:rPr>
        <w:t> </w:t>
      </w:r>
      <w:r>
        <w:rPr>
          <w:u w:val="single"/>
        </w:rPr>
        <w:t>Solutions</w:t>
      </w:r>
      <w:r>
        <w:rPr>
          <w:spacing w:val="-7"/>
          <w:u w:val="single"/>
        </w:rPr>
        <w:t> </w:t>
      </w:r>
      <w:r>
        <w:rPr>
          <w:u w:val="single"/>
        </w:rPr>
        <w:t>to</w:t>
      </w:r>
      <w:r>
        <w:rPr>
          <w:spacing w:val="-6"/>
          <w:u w:val="single"/>
        </w:rPr>
        <w:t> </w:t>
      </w:r>
      <w:r>
        <w:rPr>
          <w:u w:val="single"/>
        </w:rPr>
        <w:t>Improved</w:t>
      </w:r>
      <w:r>
        <w:rPr>
          <w:spacing w:val="-6"/>
          <w:u w:val="single"/>
        </w:rPr>
        <w:t> </w:t>
      </w:r>
      <w:r>
        <w:rPr>
          <w:u w:val="single"/>
        </w:rPr>
        <w:t>Repairs</w:t>
      </w:r>
      <w:r>
        <w:rPr>
          <w:spacing w:val="-7"/>
          <w:u w:val="single"/>
        </w:rPr>
        <w:t> </w:t>
      </w:r>
      <w:r>
        <w:rPr>
          <w:u w:val="single"/>
        </w:rPr>
        <w:t>and</w:t>
      </w:r>
      <w:r>
        <w:rPr>
          <w:spacing w:val="-9"/>
          <w:u w:val="single"/>
        </w:rPr>
        <w:t> </w:t>
      </w:r>
      <w:r>
        <w:rPr>
          <w:u w:val="single"/>
        </w:rPr>
        <w:t>Maintenance</w:t>
      </w:r>
      <w:r>
        <w:rPr>
          <w:spacing w:val="-8"/>
          <w:u w:val="single"/>
        </w:rPr>
        <w:t> </w:t>
      </w:r>
      <w:r>
        <w:rPr>
          <w:u w:val="single"/>
        </w:rPr>
        <w:t>of</w:t>
      </w:r>
      <w:r>
        <w:rPr>
          <w:u w:val="none"/>
        </w:rPr>
        <w:t> </w:t>
      </w:r>
      <w:r>
        <w:rPr>
          <w:u w:val="single"/>
        </w:rPr>
        <w:t>Complex Manual and Power Wheelchairs</w:t>
      </w:r>
    </w:p>
    <w:p>
      <w:pPr>
        <w:pStyle w:val="BodyText"/>
        <w:spacing w:line="275" w:lineRule="exact"/>
        <w:ind w:left="0" w:right="18"/>
        <w:jc w:val="center"/>
      </w:pPr>
      <w:r>
        <w:rPr/>
        <w:t>Adopted:</w:t>
      </w:r>
      <w:r>
        <w:rPr>
          <w:spacing w:val="56"/>
        </w:rPr>
        <w:t> </w:t>
      </w:r>
      <w:r>
        <w:rPr/>
        <w:t>January</w:t>
      </w:r>
      <w:r>
        <w:rPr>
          <w:spacing w:val="-1"/>
        </w:rPr>
        <w:t> </w:t>
      </w:r>
      <w:r>
        <w:rPr>
          <w:spacing w:val="-4"/>
        </w:rPr>
        <w:t>2025</w:t>
      </w:r>
    </w:p>
    <w:p>
      <w:pPr>
        <w:pStyle w:val="BodyText"/>
        <w:spacing w:before="204"/>
        <w:ind w:left="0"/>
      </w:pPr>
    </w:p>
    <w:p>
      <w:pPr>
        <w:pStyle w:val="BodyText"/>
        <w:ind w:right="143"/>
      </w:pPr>
      <w:r>
        <w:rPr/>
        <w:t>For too long, timely and consistent access to wheelchair repairs and maintenance has created unnecessary barriers for people with disabilities who rely on wheelchairs to be mobile, functional, employed, live independently, and participate in their communities.</w:t>
      </w:r>
      <w:r>
        <w:rPr>
          <w:spacing w:val="40"/>
        </w:rPr>
        <w:t> </w:t>
      </w:r>
      <w:r>
        <w:rPr/>
        <w:t>There are numerous</w:t>
      </w:r>
      <w:r>
        <w:rPr>
          <w:spacing w:val="-2"/>
        </w:rPr>
        <w:t> </w:t>
      </w:r>
      <w:r>
        <w:rPr/>
        <w:t>reasons for</w:t>
      </w:r>
      <w:r>
        <w:rPr>
          <w:spacing w:val="-4"/>
        </w:rPr>
        <w:t> </w:t>
      </w:r>
      <w:r>
        <w:rPr/>
        <w:t>these</w:t>
      </w:r>
      <w:r>
        <w:rPr>
          <w:spacing w:val="-3"/>
        </w:rPr>
        <w:t> </w:t>
      </w:r>
      <w:r>
        <w:rPr/>
        <w:t>barriers</w:t>
      </w:r>
      <w:r>
        <w:rPr>
          <w:spacing w:val="-2"/>
        </w:rPr>
        <w:t> </w:t>
      </w:r>
      <w:r>
        <w:rPr/>
        <w:t>and</w:t>
      </w:r>
      <w:r>
        <w:rPr>
          <w:spacing w:val="-2"/>
        </w:rPr>
        <w:t> </w:t>
      </w:r>
      <w:r>
        <w:rPr/>
        <w:t>the</w:t>
      </w:r>
      <w:r>
        <w:rPr>
          <w:spacing w:val="-2"/>
        </w:rPr>
        <w:t> </w:t>
      </w:r>
      <w:r>
        <w:rPr/>
        <w:t>proposed</w:t>
      </w:r>
      <w:r>
        <w:rPr>
          <w:spacing w:val="-2"/>
        </w:rPr>
        <w:t> </w:t>
      </w:r>
      <w:r>
        <w:rPr/>
        <w:t>solutions</w:t>
      </w:r>
      <w:r>
        <w:rPr>
          <w:spacing w:val="-2"/>
        </w:rPr>
        <w:t> </w:t>
      </w:r>
      <w:r>
        <w:rPr/>
        <w:t>below</w:t>
      </w:r>
      <w:r>
        <w:rPr>
          <w:spacing w:val="-2"/>
        </w:rPr>
        <w:t> </w:t>
      </w:r>
      <w:r>
        <w:rPr/>
        <w:t>are</w:t>
      </w:r>
      <w:r>
        <w:rPr>
          <w:spacing w:val="-1"/>
        </w:rPr>
        <w:t> </w:t>
      </w:r>
      <w:r>
        <w:rPr/>
        <w:t>targeted</w:t>
      </w:r>
      <w:r>
        <w:rPr>
          <w:spacing w:val="-3"/>
        </w:rPr>
        <w:t> </w:t>
      </w:r>
      <w:r>
        <w:rPr/>
        <w:t>to address</w:t>
      </w:r>
      <w:r>
        <w:rPr>
          <w:spacing w:val="-2"/>
        </w:rPr>
        <w:t> </w:t>
      </w:r>
      <w:r>
        <w:rPr/>
        <w:t>this persistent</w:t>
      </w:r>
      <w:r>
        <w:rPr>
          <w:spacing w:val="-6"/>
        </w:rPr>
        <w:t> </w:t>
      </w:r>
      <w:r>
        <w:rPr/>
        <w:t>problem</w:t>
      </w:r>
      <w:r>
        <w:rPr>
          <w:spacing w:val="-6"/>
        </w:rPr>
        <w:t> </w:t>
      </w:r>
      <w:r>
        <w:rPr/>
        <w:t>comprehensively.</w:t>
      </w:r>
      <w:r>
        <w:rPr>
          <w:spacing w:val="40"/>
        </w:rPr>
        <w:t> </w:t>
      </w:r>
      <w:r>
        <w:rPr/>
        <w:t>Coverage</w:t>
      </w:r>
      <w:r>
        <w:rPr>
          <w:spacing w:val="-5"/>
        </w:rPr>
        <w:t> </w:t>
      </w:r>
      <w:r>
        <w:rPr/>
        <w:t>and</w:t>
      </w:r>
      <w:r>
        <w:rPr>
          <w:spacing w:val="-6"/>
        </w:rPr>
        <w:t> </w:t>
      </w:r>
      <w:r>
        <w:rPr/>
        <w:t>payment</w:t>
      </w:r>
      <w:r>
        <w:rPr>
          <w:spacing w:val="-6"/>
        </w:rPr>
        <w:t> </w:t>
      </w:r>
      <w:r>
        <w:rPr/>
        <w:t>policies</w:t>
      </w:r>
      <w:r>
        <w:rPr>
          <w:spacing w:val="-6"/>
        </w:rPr>
        <w:t> </w:t>
      </w:r>
      <w:r>
        <w:rPr/>
        <w:t>developed</w:t>
      </w:r>
      <w:r>
        <w:rPr>
          <w:spacing w:val="-6"/>
        </w:rPr>
        <w:t> </w:t>
      </w:r>
      <w:r>
        <w:rPr/>
        <w:t>by</w:t>
      </w:r>
      <w:r>
        <w:rPr>
          <w:spacing w:val="-6"/>
        </w:rPr>
        <w:t> </w:t>
      </w:r>
      <w:r>
        <w:rPr/>
        <w:t>the</w:t>
      </w:r>
      <w:r>
        <w:rPr>
          <w:spacing w:val="-6"/>
        </w:rPr>
        <w:t> </w:t>
      </w:r>
      <w:r>
        <w:rPr/>
        <w:t>Medicare program are often adopted by other payers, compounding inadequate Medicare policy in this area.</w:t>
      </w:r>
      <w:r>
        <w:rPr>
          <w:spacing w:val="40"/>
        </w:rPr>
        <w:t> </w:t>
      </w:r>
      <w:r>
        <w:rPr/>
        <w:t>Without state and federal reform in this area, individuals with mobility disabilities will continue to have their lives put on hold whenever their wheelchair is in need of repair, which wastes</w:t>
      </w:r>
      <w:r>
        <w:rPr>
          <w:spacing w:val="-1"/>
        </w:rPr>
        <w:t> </w:t>
      </w:r>
      <w:r>
        <w:rPr/>
        <w:t>time, precious resources, and productivity for</w:t>
      </w:r>
      <w:r>
        <w:rPr>
          <w:spacing w:val="-2"/>
        </w:rPr>
        <w:t> </w:t>
      </w:r>
      <w:r>
        <w:rPr/>
        <w:t>both individuals and society.</w:t>
      </w:r>
      <w:r>
        <w:rPr>
          <w:spacing w:val="40"/>
        </w:rPr>
        <w:t> </w:t>
      </w:r>
      <w:r>
        <w:rPr/>
        <w:t>In fact, states are beginning to address this issue in various ways.</w:t>
      </w:r>
      <w:r>
        <w:rPr>
          <w:vertAlign w:val="superscript"/>
        </w:rPr>
        <w:t>1</w:t>
      </w:r>
    </w:p>
    <w:p>
      <w:pPr>
        <w:pStyle w:val="BodyText"/>
        <w:spacing w:before="161"/>
        <w:ind w:right="967"/>
        <w:jc w:val="both"/>
      </w:pPr>
      <w:r>
        <w:rPr/>
        <w:t>The</w:t>
      </w:r>
      <w:r>
        <w:rPr>
          <w:spacing w:val="-3"/>
        </w:rPr>
        <w:t> </w:t>
      </w:r>
      <w:r>
        <w:rPr/>
        <w:t>undersigned</w:t>
      </w:r>
      <w:r>
        <w:rPr>
          <w:spacing w:val="-1"/>
        </w:rPr>
        <w:t> </w:t>
      </w:r>
      <w:r>
        <w:rPr/>
        <w:t>members</w:t>
      </w:r>
      <w:r>
        <w:rPr>
          <w:spacing w:val="-1"/>
        </w:rPr>
        <w:t> </w:t>
      </w:r>
      <w:r>
        <w:rPr/>
        <w:t>of</w:t>
      </w:r>
      <w:r>
        <w:rPr>
          <w:spacing w:val="-1"/>
        </w:rPr>
        <w:t> </w:t>
      </w:r>
      <w:r>
        <w:rPr/>
        <w:t>the ITEM</w:t>
      </w:r>
      <w:r>
        <w:rPr>
          <w:spacing w:val="-1"/>
        </w:rPr>
        <w:t> </w:t>
      </w:r>
      <w:r>
        <w:rPr/>
        <w:t>Coalition</w:t>
      </w:r>
      <w:r>
        <w:rPr>
          <w:spacing w:val="-1"/>
        </w:rPr>
        <w:t> </w:t>
      </w:r>
      <w:r>
        <w:rPr/>
        <w:t>are</w:t>
      </w:r>
      <w:r>
        <w:rPr>
          <w:spacing w:val="-2"/>
        </w:rPr>
        <w:t> </w:t>
      </w:r>
      <w:r>
        <w:rPr/>
        <w:t>proud</w:t>
      </w:r>
      <w:r>
        <w:rPr>
          <w:spacing w:val="-1"/>
        </w:rPr>
        <w:t> </w:t>
      </w:r>
      <w:r>
        <w:rPr/>
        <w:t>to endorse</w:t>
      </w:r>
      <w:r>
        <w:rPr>
          <w:spacing w:val="-1"/>
        </w:rPr>
        <w:t> </w:t>
      </w:r>
      <w:r>
        <w:rPr/>
        <w:t>a</w:t>
      </w:r>
      <w:r>
        <w:rPr>
          <w:spacing w:val="-2"/>
        </w:rPr>
        <w:t> </w:t>
      </w:r>
      <w:r>
        <w:rPr/>
        <w:t>set</w:t>
      </w:r>
      <w:r>
        <w:rPr>
          <w:spacing w:val="-1"/>
        </w:rPr>
        <w:t> </w:t>
      </w:r>
      <w:r>
        <w:rPr/>
        <w:t>of</w:t>
      </w:r>
      <w:r>
        <w:rPr>
          <w:spacing w:val="-1"/>
        </w:rPr>
        <w:t> </w:t>
      </w:r>
      <w:r>
        <w:rPr/>
        <w:t>proposed solutions</w:t>
      </w:r>
      <w:r>
        <w:rPr>
          <w:spacing w:val="-4"/>
        </w:rPr>
        <w:t> </w:t>
      </w:r>
      <w:r>
        <w:rPr/>
        <w:t>that</w:t>
      </w:r>
      <w:r>
        <w:rPr>
          <w:spacing w:val="-4"/>
        </w:rPr>
        <w:t> </w:t>
      </w:r>
      <w:r>
        <w:rPr/>
        <w:t>would</w:t>
      </w:r>
      <w:r>
        <w:rPr>
          <w:spacing w:val="-3"/>
        </w:rPr>
        <w:t> </w:t>
      </w:r>
      <w:r>
        <w:rPr/>
        <w:t>help</w:t>
      </w:r>
      <w:r>
        <w:rPr>
          <w:spacing w:val="-6"/>
        </w:rPr>
        <w:t> </w:t>
      </w:r>
      <w:r>
        <w:rPr/>
        <w:t>address</w:t>
      </w:r>
      <w:r>
        <w:rPr>
          <w:spacing w:val="-4"/>
        </w:rPr>
        <w:t> </w:t>
      </w:r>
      <w:r>
        <w:rPr/>
        <w:t>the</w:t>
      </w:r>
      <w:r>
        <w:rPr>
          <w:spacing w:val="-5"/>
        </w:rPr>
        <w:t> </w:t>
      </w:r>
      <w:r>
        <w:rPr/>
        <w:t>problems</w:t>
      </w:r>
      <w:r>
        <w:rPr>
          <w:spacing w:val="-4"/>
        </w:rPr>
        <w:t> </w:t>
      </w:r>
      <w:r>
        <w:rPr/>
        <w:t>that</w:t>
      </w:r>
      <w:r>
        <w:rPr>
          <w:spacing w:val="-4"/>
        </w:rPr>
        <w:t> </w:t>
      </w:r>
      <w:r>
        <w:rPr/>
        <w:t>individuals</w:t>
      </w:r>
      <w:r>
        <w:rPr>
          <w:spacing w:val="-4"/>
        </w:rPr>
        <w:t> </w:t>
      </w:r>
      <w:r>
        <w:rPr/>
        <w:t>with</w:t>
      </w:r>
      <w:r>
        <w:rPr>
          <w:spacing w:val="-4"/>
        </w:rPr>
        <w:t> </w:t>
      </w:r>
      <w:r>
        <w:rPr/>
        <w:t>mobility</w:t>
      </w:r>
      <w:r>
        <w:rPr>
          <w:spacing w:val="-4"/>
        </w:rPr>
        <w:t> </w:t>
      </w:r>
      <w:r>
        <w:rPr/>
        <w:t>disabilities experience in obtaining timely repairs and maintenance of complex manual and power</w:t>
      </w:r>
    </w:p>
    <w:p>
      <w:pPr>
        <w:pStyle w:val="BodyText"/>
        <w:ind w:right="143"/>
      </w:pPr>
      <w:r>
        <w:rPr/>
        <w:t>wheelchairs</w:t>
      </w:r>
      <w:r>
        <w:rPr>
          <w:spacing w:val="-6"/>
        </w:rPr>
        <w:t> </w:t>
      </w:r>
      <w:r>
        <w:rPr/>
        <w:t>(commonly</w:t>
      </w:r>
      <w:r>
        <w:rPr>
          <w:spacing w:val="-5"/>
        </w:rPr>
        <w:t> </w:t>
      </w:r>
      <w:r>
        <w:rPr/>
        <w:t>referred</w:t>
      </w:r>
      <w:r>
        <w:rPr>
          <w:spacing w:val="-5"/>
        </w:rPr>
        <w:t> </w:t>
      </w:r>
      <w:r>
        <w:rPr/>
        <w:t>to</w:t>
      </w:r>
      <w:r>
        <w:rPr>
          <w:spacing w:val="-5"/>
        </w:rPr>
        <w:t> </w:t>
      </w:r>
      <w:r>
        <w:rPr/>
        <w:t>as</w:t>
      </w:r>
      <w:r>
        <w:rPr>
          <w:spacing w:val="-4"/>
        </w:rPr>
        <w:t> </w:t>
      </w:r>
      <w:r>
        <w:rPr/>
        <w:t>“complex</w:t>
      </w:r>
      <w:r>
        <w:rPr>
          <w:spacing w:val="-5"/>
        </w:rPr>
        <w:t> </w:t>
      </w:r>
      <w:r>
        <w:rPr/>
        <w:t>rehabilitative</w:t>
      </w:r>
      <w:r>
        <w:rPr>
          <w:spacing w:val="-6"/>
        </w:rPr>
        <w:t> </w:t>
      </w:r>
      <w:r>
        <w:rPr/>
        <w:t>technology”</w:t>
      </w:r>
      <w:r>
        <w:rPr>
          <w:spacing w:val="-4"/>
        </w:rPr>
        <w:t> </w:t>
      </w:r>
      <w:r>
        <w:rPr/>
        <w:t>or</w:t>
      </w:r>
      <w:r>
        <w:rPr>
          <w:spacing w:val="-5"/>
        </w:rPr>
        <w:t> </w:t>
      </w:r>
      <w:r>
        <w:rPr/>
        <w:t>“CRT”).</w:t>
      </w:r>
      <w:r>
        <w:rPr>
          <w:spacing w:val="40"/>
        </w:rPr>
        <w:t> </w:t>
      </w:r>
      <w:r>
        <w:rPr/>
        <w:t>There</w:t>
      </w:r>
      <w:r>
        <w:rPr>
          <w:spacing w:val="-5"/>
        </w:rPr>
        <w:t> </w:t>
      </w:r>
      <w:r>
        <w:rPr/>
        <w:t>are many reasons a wheelchair may need to be repaired through a combination of a health care provider</w:t>
      </w:r>
      <w:r>
        <w:rPr>
          <w:vertAlign w:val="superscript"/>
        </w:rPr>
        <w:t>2</w:t>
      </w:r>
      <w:r>
        <w:rPr>
          <w:spacing w:val="-3"/>
          <w:vertAlign w:val="baseline"/>
        </w:rPr>
        <w:t> </w:t>
      </w:r>
      <w:r>
        <w:rPr>
          <w:vertAlign w:val="baseline"/>
        </w:rPr>
        <w:t>(often</w:t>
      </w:r>
      <w:r>
        <w:rPr>
          <w:spacing w:val="-4"/>
          <w:vertAlign w:val="baseline"/>
        </w:rPr>
        <w:t> </w:t>
      </w:r>
      <w:r>
        <w:rPr>
          <w:vertAlign w:val="baseline"/>
        </w:rPr>
        <w:t>an</w:t>
      </w:r>
      <w:r>
        <w:rPr>
          <w:spacing w:val="-4"/>
          <w:vertAlign w:val="baseline"/>
        </w:rPr>
        <w:t> </w:t>
      </w:r>
      <w:r>
        <w:rPr>
          <w:vertAlign w:val="baseline"/>
        </w:rPr>
        <w:t>occupational</w:t>
      </w:r>
      <w:r>
        <w:rPr>
          <w:spacing w:val="-4"/>
          <w:vertAlign w:val="baseline"/>
        </w:rPr>
        <w:t> </w:t>
      </w:r>
      <w:r>
        <w:rPr>
          <w:vertAlign w:val="baseline"/>
        </w:rPr>
        <w:t>or</w:t>
      </w:r>
      <w:r>
        <w:rPr>
          <w:spacing w:val="-4"/>
          <w:vertAlign w:val="baseline"/>
        </w:rPr>
        <w:t> </w:t>
      </w:r>
      <w:r>
        <w:rPr>
          <w:vertAlign w:val="baseline"/>
        </w:rPr>
        <w:t>physical</w:t>
      </w:r>
      <w:r>
        <w:rPr>
          <w:spacing w:val="-4"/>
          <w:vertAlign w:val="baseline"/>
        </w:rPr>
        <w:t> </w:t>
      </w:r>
      <w:r>
        <w:rPr>
          <w:vertAlign w:val="baseline"/>
        </w:rPr>
        <w:t>therapist)</w:t>
      </w:r>
      <w:r>
        <w:rPr>
          <w:spacing w:val="-4"/>
          <w:vertAlign w:val="baseline"/>
        </w:rPr>
        <w:t> </w:t>
      </w:r>
      <w:r>
        <w:rPr>
          <w:vertAlign w:val="baseline"/>
        </w:rPr>
        <w:t>and</w:t>
      </w:r>
      <w:r>
        <w:rPr>
          <w:spacing w:val="-4"/>
          <w:vertAlign w:val="baseline"/>
        </w:rPr>
        <w:t> </w:t>
      </w:r>
      <w:r>
        <w:rPr>
          <w:vertAlign w:val="baseline"/>
        </w:rPr>
        <w:t>CRT</w:t>
      </w:r>
      <w:r>
        <w:rPr>
          <w:spacing w:val="-9"/>
          <w:vertAlign w:val="baseline"/>
        </w:rPr>
        <w:t> </w:t>
      </w:r>
      <w:r>
        <w:rPr>
          <w:vertAlign w:val="baseline"/>
        </w:rPr>
        <w:t>supplier</w:t>
      </w:r>
      <w:r>
        <w:rPr>
          <w:vertAlign w:val="superscript"/>
        </w:rPr>
        <w:t>3</w:t>
      </w:r>
      <w:r>
        <w:rPr>
          <w:vertAlign w:val="baseline"/>
        </w:rPr>
        <w:t>.</w:t>
      </w:r>
      <w:r>
        <w:rPr>
          <w:spacing w:val="40"/>
          <w:vertAlign w:val="baseline"/>
        </w:rPr>
        <w:t> </w:t>
      </w:r>
      <w:r>
        <w:rPr>
          <w:vertAlign w:val="baseline"/>
        </w:rPr>
        <w:t>This</w:t>
      </w:r>
      <w:r>
        <w:rPr>
          <w:spacing w:val="-4"/>
          <w:vertAlign w:val="baseline"/>
        </w:rPr>
        <w:t> </w:t>
      </w:r>
      <w:r>
        <w:rPr>
          <w:vertAlign w:val="baseline"/>
        </w:rPr>
        <w:t>contributes</w:t>
      </w:r>
      <w:r>
        <w:rPr>
          <w:spacing w:val="-4"/>
          <w:vertAlign w:val="baseline"/>
        </w:rPr>
        <w:t> </w:t>
      </w:r>
      <w:r>
        <w:rPr>
          <w:vertAlign w:val="baseline"/>
        </w:rPr>
        <w:t>to</w:t>
      </w:r>
      <w:r>
        <w:rPr>
          <w:spacing w:val="-4"/>
          <w:vertAlign w:val="baseline"/>
        </w:rPr>
        <w:t> </w:t>
      </w:r>
      <w:r>
        <w:rPr>
          <w:vertAlign w:val="baseline"/>
        </w:rPr>
        <w:t>the complexity of this multifaceted issue, which will require multiple solutions to ensure timely repairs for consumers.</w:t>
      </w:r>
    </w:p>
    <w:p>
      <w:pPr>
        <w:pStyle w:val="BodyText"/>
        <w:spacing w:before="159"/>
        <w:ind w:right="143"/>
      </w:pPr>
      <w:r>
        <w:rPr/>
        <w:t>The ITEM Coalition is a national consumer- and clinician-led coalition advocating for access to—and coverage of—assistive devices and technologies for persons with injuries, illnesses, disabilities, and chronic conditions of all ages. Our members represent individuals with a wide range</w:t>
      </w:r>
      <w:r>
        <w:rPr>
          <w:spacing w:val="-4"/>
        </w:rPr>
        <w:t> </w:t>
      </w:r>
      <w:r>
        <w:rPr/>
        <w:t>of</w:t>
      </w:r>
      <w:r>
        <w:rPr>
          <w:spacing w:val="-3"/>
        </w:rPr>
        <w:t> </w:t>
      </w:r>
      <w:r>
        <w:rPr/>
        <w:t>disabling</w:t>
      </w:r>
      <w:r>
        <w:rPr>
          <w:spacing w:val="-3"/>
        </w:rPr>
        <w:t> </w:t>
      </w:r>
      <w:r>
        <w:rPr/>
        <w:t>conditions,</w:t>
      </w:r>
      <w:r>
        <w:rPr>
          <w:spacing w:val="-3"/>
        </w:rPr>
        <w:t> </w:t>
      </w:r>
      <w:r>
        <w:rPr/>
        <w:t>as</w:t>
      </w:r>
      <w:r>
        <w:rPr>
          <w:spacing w:val="-3"/>
        </w:rPr>
        <w:t> </w:t>
      </w:r>
      <w:r>
        <w:rPr/>
        <w:t>well</w:t>
      </w:r>
      <w:r>
        <w:rPr>
          <w:spacing w:val="-3"/>
        </w:rPr>
        <w:t> </w:t>
      </w:r>
      <w:r>
        <w:rPr/>
        <w:t>as</w:t>
      </w:r>
      <w:r>
        <w:rPr>
          <w:spacing w:val="-3"/>
        </w:rPr>
        <w:t> </w:t>
      </w:r>
      <w:r>
        <w:rPr/>
        <w:t>the</w:t>
      </w:r>
      <w:r>
        <w:rPr>
          <w:spacing w:val="-3"/>
        </w:rPr>
        <w:t> </w:t>
      </w:r>
      <w:r>
        <w:rPr/>
        <w:t>providers</w:t>
      </w:r>
      <w:r>
        <w:rPr>
          <w:spacing w:val="-3"/>
        </w:rPr>
        <w:t> </w:t>
      </w:r>
      <w:r>
        <w:rPr/>
        <w:t>who</w:t>
      </w:r>
      <w:r>
        <w:rPr>
          <w:spacing w:val="-3"/>
        </w:rPr>
        <w:t> </w:t>
      </w:r>
      <w:r>
        <w:rPr/>
        <w:t>serve</w:t>
      </w:r>
      <w:r>
        <w:rPr>
          <w:spacing w:val="-4"/>
        </w:rPr>
        <w:t> </w:t>
      </w:r>
      <w:r>
        <w:rPr/>
        <w:t>them,</w:t>
      </w:r>
      <w:r>
        <w:rPr>
          <w:spacing w:val="-3"/>
        </w:rPr>
        <w:t> </w:t>
      </w:r>
      <w:r>
        <w:rPr/>
        <w:t>including</w:t>
      </w:r>
      <w:r>
        <w:rPr>
          <w:spacing w:val="-3"/>
        </w:rPr>
        <w:t> </w:t>
      </w:r>
      <w:r>
        <w:rPr/>
        <w:t>such</w:t>
      </w:r>
      <w:r>
        <w:rPr>
          <w:spacing w:val="-3"/>
        </w:rPr>
        <w:t> </w:t>
      </w:r>
      <w:r>
        <w:rPr/>
        <w:t>conditions as</w:t>
      </w:r>
      <w:r>
        <w:rPr>
          <w:spacing w:val="-6"/>
        </w:rPr>
        <w:t> </w:t>
      </w:r>
      <w:r>
        <w:rPr/>
        <w:t>spinal</w:t>
      </w:r>
      <w:r>
        <w:rPr>
          <w:spacing w:val="-3"/>
        </w:rPr>
        <w:t> </w:t>
      </w:r>
      <w:r>
        <w:rPr/>
        <w:t>cord</w:t>
      </w:r>
      <w:r>
        <w:rPr>
          <w:spacing w:val="-3"/>
        </w:rPr>
        <w:t> </w:t>
      </w:r>
      <w:r>
        <w:rPr/>
        <w:t>injury,</w:t>
      </w:r>
      <w:r>
        <w:rPr>
          <w:spacing w:val="-3"/>
        </w:rPr>
        <w:t> </w:t>
      </w:r>
      <w:r>
        <w:rPr/>
        <w:t>paralysis,</w:t>
      </w:r>
      <w:r>
        <w:rPr>
          <w:spacing w:val="-15"/>
        </w:rPr>
        <w:t> </w:t>
      </w:r>
      <w:r>
        <w:rPr/>
        <w:t>ALS,</w:t>
      </w:r>
      <w:r>
        <w:rPr>
          <w:spacing w:val="-3"/>
        </w:rPr>
        <w:t> </w:t>
      </w:r>
      <w:r>
        <w:rPr/>
        <w:t>multiple</w:t>
      </w:r>
      <w:r>
        <w:rPr>
          <w:spacing w:val="-3"/>
        </w:rPr>
        <w:t> </w:t>
      </w:r>
      <w:r>
        <w:rPr/>
        <w:t>sclerosis,</w:t>
      </w:r>
      <w:r>
        <w:rPr>
          <w:spacing w:val="-3"/>
        </w:rPr>
        <w:t> </w:t>
      </w:r>
      <w:r>
        <w:rPr/>
        <w:t>cerebral</w:t>
      </w:r>
      <w:r>
        <w:rPr>
          <w:spacing w:val="-3"/>
        </w:rPr>
        <w:t> </w:t>
      </w:r>
      <w:r>
        <w:rPr/>
        <w:t>palsy,</w:t>
      </w:r>
      <w:r>
        <w:rPr>
          <w:spacing w:val="-3"/>
        </w:rPr>
        <w:t> </w:t>
      </w:r>
      <w:r>
        <w:rPr/>
        <w:t>stroke,</w:t>
      </w:r>
      <w:r>
        <w:rPr>
          <w:spacing w:val="-3"/>
        </w:rPr>
        <w:t> </w:t>
      </w:r>
      <w:r>
        <w:rPr/>
        <w:t>brain</w:t>
      </w:r>
      <w:r>
        <w:rPr>
          <w:spacing w:val="-3"/>
        </w:rPr>
        <w:t> </w:t>
      </w:r>
      <w:r>
        <w:rPr/>
        <w:t>injury,</w:t>
      </w:r>
      <w:r>
        <w:rPr>
          <w:spacing w:val="-3"/>
        </w:rPr>
        <w:t> </w:t>
      </w:r>
      <w:r>
        <w:rPr/>
        <w:t>spina bifida, limb loss and limb difference, hearing and speech impairments, visual impairments, and other life-altering conditions.</w:t>
      </w:r>
    </w:p>
    <w:p>
      <w:pPr>
        <w:pStyle w:val="Heading1"/>
        <w:spacing w:before="162"/>
      </w:pPr>
      <w:r>
        <w:rPr/>
        <w:t>Solution</w:t>
      </w:r>
      <w:r>
        <w:rPr>
          <w:spacing w:val="-4"/>
        </w:rPr>
        <w:t> </w:t>
      </w:r>
      <w:r>
        <w:rPr/>
        <w:t>#1</w:t>
      </w:r>
      <w:r>
        <w:rPr>
          <w:spacing w:val="-4"/>
        </w:rPr>
        <w:t> </w:t>
      </w:r>
      <w:r>
        <w:rPr/>
        <w:t>–</w:t>
      </w:r>
      <w:r>
        <w:rPr>
          <w:spacing w:val="-4"/>
        </w:rPr>
        <w:t> </w:t>
      </w:r>
      <w:r>
        <w:rPr/>
        <w:t>Coverage</w:t>
      </w:r>
      <w:r>
        <w:rPr>
          <w:spacing w:val="-5"/>
        </w:rPr>
        <w:t> </w:t>
      </w:r>
      <w:r>
        <w:rPr/>
        <w:t>and</w:t>
      </w:r>
      <w:r>
        <w:rPr>
          <w:spacing w:val="-4"/>
        </w:rPr>
        <w:t> </w:t>
      </w:r>
      <w:r>
        <w:rPr/>
        <w:t>payment</w:t>
      </w:r>
      <w:r>
        <w:rPr>
          <w:spacing w:val="-3"/>
        </w:rPr>
        <w:t> </w:t>
      </w:r>
      <w:r>
        <w:rPr/>
        <w:t>of</w:t>
      </w:r>
      <w:r>
        <w:rPr>
          <w:spacing w:val="-5"/>
        </w:rPr>
        <w:t> </w:t>
      </w:r>
      <w:r>
        <w:rPr/>
        <w:t>preventative</w:t>
      </w:r>
      <w:r>
        <w:rPr>
          <w:spacing w:val="-4"/>
        </w:rPr>
        <w:t> </w:t>
      </w:r>
      <w:r>
        <w:rPr/>
        <w:t>maintenance</w:t>
      </w:r>
      <w:r>
        <w:rPr>
          <w:spacing w:val="-5"/>
        </w:rPr>
        <w:t> </w:t>
      </w:r>
      <w:r>
        <w:rPr/>
        <w:t>for</w:t>
      </w:r>
      <w:r>
        <w:rPr>
          <w:spacing w:val="-9"/>
        </w:rPr>
        <w:t> </w:t>
      </w:r>
      <w:r>
        <w:rPr/>
        <w:t>CRT</w:t>
      </w:r>
      <w:r>
        <w:rPr>
          <w:spacing w:val="-8"/>
        </w:rPr>
        <w:t> </w:t>
      </w:r>
      <w:r>
        <w:rPr/>
        <w:t>manual</w:t>
      </w:r>
      <w:r>
        <w:rPr>
          <w:spacing w:val="-4"/>
        </w:rPr>
        <w:t> </w:t>
      </w:r>
      <w:r>
        <w:rPr/>
        <w:t>and power wheelchairs.</w:t>
      </w:r>
    </w:p>
    <w:p>
      <w:pPr>
        <w:pStyle w:val="ListParagraph"/>
        <w:numPr>
          <w:ilvl w:val="0"/>
          <w:numId w:val="1"/>
        </w:numPr>
        <w:tabs>
          <w:tab w:pos="820" w:val="left" w:leader="none"/>
        </w:tabs>
        <w:spacing w:line="240" w:lineRule="auto" w:before="160" w:after="0"/>
        <w:ind w:left="820" w:right="266" w:hanging="360"/>
        <w:jc w:val="left"/>
        <w:rPr>
          <w:sz w:val="24"/>
        </w:rPr>
      </w:pPr>
      <w:r>
        <w:rPr>
          <w:sz w:val="24"/>
        </w:rPr>
        <w:t>Today,</w:t>
      </w:r>
      <w:r>
        <w:rPr>
          <w:spacing w:val="-6"/>
          <w:sz w:val="24"/>
        </w:rPr>
        <w:t> </w:t>
      </w:r>
      <w:r>
        <w:rPr>
          <w:sz w:val="24"/>
        </w:rPr>
        <w:t>the</w:t>
      </w:r>
      <w:r>
        <w:rPr>
          <w:spacing w:val="-7"/>
          <w:sz w:val="24"/>
        </w:rPr>
        <w:t> </w:t>
      </w:r>
      <w:r>
        <w:rPr>
          <w:sz w:val="24"/>
        </w:rPr>
        <w:t>Medicare</w:t>
      </w:r>
      <w:r>
        <w:rPr>
          <w:spacing w:val="-6"/>
          <w:sz w:val="24"/>
        </w:rPr>
        <w:t> </w:t>
      </w:r>
      <w:r>
        <w:rPr>
          <w:sz w:val="24"/>
        </w:rPr>
        <w:t>program</w:t>
      </w:r>
      <w:r>
        <w:rPr>
          <w:spacing w:val="-6"/>
          <w:sz w:val="24"/>
        </w:rPr>
        <w:t> </w:t>
      </w:r>
      <w:r>
        <w:rPr>
          <w:sz w:val="24"/>
        </w:rPr>
        <w:t>expects</w:t>
      </w:r>
      <w:r>
        <w:rPr>
          <w:spacing w:val="-6"/>
          <w:sz w:val="24"/>
        </w:rPr>
        <w:t> </w:t>
      </w:r>
      <w:r>
        <w:rPr>
          <w:sz w:val="24"/>
        </w:rPr>
        <w:t>users</w:t>
      </w:r>
      <w:r>
        <w:rPr>
          <w:spacing w:val="-6"/>
          <w:sz w:val="24"/>
        </w:rPr>
        <w:t> </w:t>
      </w:r>
      <w:r>
        <w:rPr>
          <w:sz w:val="24"/>
        </w:rPr>
        <w:t>to</w:t>
      </w:r>
      <w:r>
        <w:rPr>
          <w:spacing w:val="-6"/>
          <w:sz w:val="24"/>
        </w:rPr>
        <w:t> </w:t>
      </w:r>
      <w:r>
        <w:rPr>
          <w:sz w:val="24"/>
        </w:rPr>
        <w:t>perform</w:t>
      </w:r>
      <w:r>
        <w:rPr>
          <w:spacing w:val="-6"/>
          <w:sz w:val="24"/>
        </w:rPr>
        <w:t> </w:t>
      </w:r>
      <w:r>
        <w:rPr>
          <w:sz w:val="24"/>
        </w:rPr>
        <w:t>their</w:t>
      </w:r>
      <w:r>
        <w:rPr>
          <w:spacing w:val="-7"/>
          <w:sz w:val="24"/>
        </w:rPr>
        <w:t> </w:t>
      </w:r>
      <w:r>
        <w:rPr>
          <w:sz w:val="24"/>
        </w:rPr>
        <w:t>own</w:t>
      </w:r>
      <w:r>
        <w:rPr>
          <w:spacing w:val="-6"/>
          <w:sz w:val="24"/>
        </w:rPr>
        <w:t> </w:t>
      </w:r>
      <w:r>
        <w:rPr>
          <w:sz w:val="24"/>
        </w:rPr>
        <w:t>routine</w:t>
      </w:r>
      <w:r>
        <w:rPr>
          <w:spacing w:val="-7"/>
          <w:sz w:val="24"/>
        </w:rPr>
        <w:t> </w:t>
      </w:r>
      <w:r>
        <w:rPr>
          <w:sz w:val="24"/>
        </w:rPr>
        <w:t>maintenance</w:t>
      </w:r>
      <w:r>
        <w:rPr>
          <w:spacing w:val="-5"/>
          <w:sz w:val="24"/>
        </w:rPr>
        <w:t> </w:t>
      </w:r>
      <w:r>
        <w:rPr>
          <w:sz w:val="24"/>
        </w:rPr>
        <w:t>of their wheeled mobility device.</w:t>
      </w:r>
      <w:r>
        <w:rPr>
          <w:sz w:val="24"/>
          <w:vertAlign w:val="superscript"/>
        </w:rPr>
        <w:t>4</w:t>
      </w:r>
      <w:r>
        <w:rPr>
          <w:spacing w:val="40"/>
          <w:sz w:val="24"/>
          <w:vertAlign w:val="baseline"/>
        </w:rPr>
        <w:t> </w:t>
      </w:r>
      <w:r>
        <w:rPr>
          <w:sz w:val="24"/>
          <w:vertAlign w:val="baseline"/>
        </w:rPr>
        <w:t>This is both impractical and potentially dangerous.</w:t>
      </w:r>
    </w:p>
    <w:p>
      <w:pPr>
        <w:pStyle w:val="BodyText"/>
        <w:spacing w:before="3"/>
        <w:ind w:left="0"/>
        <w:rPr>
          <w:sz w:val="15"/>
        </w:rPr>
      </w:pPr>
      <w:r>
        <w:rPr/>
        <mc:AlternateContent>
          <mc:Choice Requires="wps">
            <w:drawing>
              <wp:anchor distT="0" distB="0" distL="0" distR="0" allowOverlap="1" layoutInCell="1" locked="0" behindDoc="1" simplePos="0" relativeHeight="487587840">
                <wp:simplePos x="0" y="0"/>
                <wp:positionH relativeFrom="page">
                  <wp:posOffset>914704</wp:posOffset>
                </wp:positionH>
                <wp:positionV relativeFrom="paragraph">
                  <wp:posOffset>126938</wp:posOffset>
                </wp:positionV>
                <wp:extent cx="1829435" cy="952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9.995176pt;width:144.020pt;height:.71997pt;mso-position-horizontal-relative:page;mso-position-vertical-relative:paragraph;z-index:-15728640;mso-wrap-distance-left:0;mso-wrap-distance-right:0" id="docshape1" filled="true" fillcolor="#000000" stroked="false">
                <v:fill type="solid"/>
                <w10:wrap type="topAndBottom"/>
              </v:rect>
            </w:pict>
          </mc:Fallback>
        </mc:AlternateContent>
      </w:r>
    </w:p>
    <w:p>
      <w:pPr>
        <w:spacing w:before="102"/>
        <w:ind w:left="100" w:right="143" w:firstLine="0"/>
        <w:jc w:val="left"/>
        <w:rPr>
          <w:sz w:val="20"/>
        </w:rPr>
      </w:pPr>
      <w:r>
        <w:rPr>
          <w:rFonts w:ascii="Calibri" w:hAnsi="Calibri"/>
          <w:sz w:val="20"/>
          <w:vertAlign w:val="superscript"/>
        </w:rPr>
        <w:t>1</w:t>
      </w:r>
      <w:r>
        <w:rPr>
          <w:rFonts w:ascii="Calibri" w:hAnsi="Calibri"/>
          <w:spacing w:val="-4"/>
          <w:sz w:val="20"/>
          <w:vertAlign w:val="baseline"/>
        </w:rPr>
        <w:t> </w:t>
      </w:r>
      <w:r>
        <w:rPr>
          <w:sz w:val="20"/>
          <w:vertAlign w:val="baseline"/>
        </w:rPr>
        <w:t>e.g.,</w:t>
      </w:r>
      <w:r>
        <w:rPr>
          <w:spacing w:val="-3"/>
          <w:sz w:val="20"/>
          <w:vertAlign w:val="baseline"/>
        </w:rPr>
        <w:t> </w:t>
      </w:r>
      <w:r>
        <w:rPr>
          <w:sz w:val="20"/>
          <w:vertAlign w:val="baseline"/>
        </w:rPr>
        <w:t>CT</w:t>
      </w:r>
      <w:r>
        <w:rPr>
          <w:spacing w:val="-7"/>
          <w:sz w:val="20"/>
          <w:vertAlign w:val="baseline"/>
        </w:rPr>
        <w:t> </w:t>
      </w:r>
      <w:r>
        <w:rPr>
          <w:sz w:val="20"/>
          <w:vertAlign w:val="baseline"/>
        </w:rPr>
        <w:t>Pub.</w:t>
      </w:r>
      <w:r>
        <w:rPr>
          <w:spacing w:val="-3"/>
          <w:sz w:val="20"/>
          <w:vertAlign w:val="baseline"/>
        </w:rPr>
        <w:t> </w:t>
      </w:r>
      <w:r>
        <w:rPr>
          <w:sz w:val="20"/>
          <w:vertAlign w:val="baseline"/>
        </w:rPr>
        <w:t>Law.</w:t>
      </w:r>
      <w:r>
        <w:rPr>
          <w:spacing w:val="-3"/>
          <w:sz w:val="20"/>
          <w:vertAlign w:val="baseline"/>
        </w:rPr>
        <w:t> </w:t>
      </w:r>
      <w:r>
        <w:rPr>
          <w:sz w:val="20"/>
          <w:vertAlign w:val="baseline"/>
        </w:rPr>
        <w:t>24-58;</w:t>
      </w:r>
      <w:r>
        <w:rPr>
          <w:spacing w:val="-4"/>
          <w:sz w:val="20"/>
          <w:vertAlign w:val="baseline"/>
        </w:rPr>
        <w:t> </w:t>
      </w:r>
      <w:r>
        <w:rPr>
          <w:sz w:val="20"/>
          <w:vertAlign w:val="baseline"/>
        </w:rPr>
        <w:t>C.R.S.</w:t>
      </w:r>
      <w:r>
        <w:rPr>
          <w:spacing w:val="-3"/>
          <w:sz w:val="20"/>
          <w:vertAlign w:val="baseline"/>
        </w:rPr>
        <w:t> </w:t>
      </w:r>
      <w:r>
        <w:rPr>
          <w:sz w:val="20"/>
          <w:vertAlign w:val="baseline"/>
        </w:rPr>
        <w:t>§</w:t>
      </w:r>
      <w:r>
        <w:rPr>
          <w:spacing w:val="-2"/>
          <w:sz w:val="20"/>
          <w:vertAlign w:val="baseline"/>
        </w:rPr>
        <w:t> </w:t>
      </w:r>
      <w:r>
        <w:rPr>
          <w:sz w:val="20"/>
          <w:vertAlign w:val="baseline"/>
        </w:rPr>
        <w:t>6-1-1501</w:t>
      </w:r>
      <w:r>
        <w:rPr>
          <w:spacing w:val="-2"/>
          <w:sz w:val="20"/>
          <w:vertAlign w:val="baseline"/>
        </w:rPr>
        <w:t> </w:t>
      </w:r>
      <w:r>
        <w:rPr>
          <w:sz w:val="20"/>
          <w:vertAlign w:val="baseline"/>
        </w:rPr>
        <w:t>through</w:t>
      </w:r>
      <w:r>
        <w:rPr>
          <w:spacing w:val="-4"/>
          <w:sz w:val="20"/>
          <w:vertAlign w:val="baseline"/>
        </w:rPr>
        <w:t> </w:t>
      </w:r>
      <w:r>
        <w:rPr>
          <w:sz w:val="20"/>
          <w:vertAlign w:val="baseline"/>
        </w:rPr>
        <w:t>1504;</w:t>
      </w:r>
      <w:r>
        <w:rPr>
          <w:spacing w:val="-10"/>
          <w:sz w:val="20"/>
          <w:vertAlign w:val="baseline"/>
        </w:rPr>
        <w:t> </w:t>
      </w:r>
      <w:r>
        <w:rPr>
          <w:sz w:val="20"/>
          <w:vertAlign w:val="baseline"/>
        </w:rPr>
        <w:t>TN</w:t>
      </w:r>
      <w:r>
        <w:rPr>
          <w:spacing w:val="-3"/>
          <w:sz w:val="20"/>
          <w:vertAlign w:val="baseline"/>
        </w:rPr>
        <w:t> </w:t>
      </w:r>
      <w:r>
        <w:rPr>
          <w:sz w:val="20"/>
          <w:vertAlign w:val="baseline"/>
        </w:rPr>
        <w:t>Code</w:t>
      </w:r>
      <w:r>
        <w:rPr>
          <w:spacing w:val="-3"/>
          <w:sz w:val="20"/>
          <w:vertAlign w:val="baseline"/>
        </w:rPr>
        <w:t> </w:t>
      </w:r>
      <w:r>
        <w:rPr>
          <w:sz w:val="20"/>
          <w:vertAlign w:val="baseline"/>
        </w:rPr>
        <w:t>§</w:t>
      </w:r>
      <w:r>
        <w:rPr>
          <w:spacing w:val="-2"/>
          <w:sz w:val="20"/>
          <w:vertAlign w:val="baseline"/>
        </w:rPr>
        <w:t> </w:t>
      </w:r>
      <w:r>
        <w:rPr>
          <w:sz w:val="20"/>
          <w:vertAlign w:val="baseline"/>
        </w:rPr>
        <w:t>47-18-3401</w:t>
      </w:r>
      <w:r>
        <w:rPr>
          <w:spacing w:val="-2"/>
          <w:sz w:val="20"/>
          <w:vertAlign w:val="baseline"/>
        </w:rPr>
        <w:t> </w:t>
      </w:r>
      <w:r>
        <w:rPr>
          <w:sz w:val="20"/>
          <w:vertAlign w:val="baseline"/>
        </w:rPr>
        <w:t>and</w:t>
      </w:r>
      <w:r>
        <w:rPr>
          <w:spacing w:val="-4"/>
          <w:sz w:val="20"/>
          <w:vertAlign w:val="baseline"/>
        </w:rPr>
        <w:t> </w:t>
      </w:r>
      <w:r>
        <w:rPr>
          <w:sz w:val="20"/>
          <w:vertAlign w:val="baseline"/>
        </w:rPr>
        <w:t>3402;</w:t>
      </w:r>
      <w:r>
        <w:rPr>
          <w:spacing w:val="-8"/>
          <w:sz w:val="20"/>
          <w:vertAlign w:val="baseline"/>
        </w:rPr>
        <w:t> </w:t>
      </w:r>
      <w:r>
        <w:rPr>
          <w:sz w:val="20"/>
          <w:vertAlign w:val="baseline"/>
        </w:rPr>
        <w:t>WI</w:t>
      </w:r>
      <w:r>
        <w:rPr>
          <w:spacing w:val="-3"/>
          <w:sz w:val="20"/>
          <w:vertAlign w:val="baseline"/>
        </w:rPr>
        <w:t> </w:t>
      </w:r>
      <w:r>
        <w:rPr>
          <w:sz w:val="20"/>
          <w:vertAlign w:val="baseline"/>
        </w:rPr>
        <w:t>Stat</w:t>
      </w:r>
      <w:r>
        <w:rPr>
          <w:spacing w:val="-4"/>
          <w:sz w:val="20"/>
          <w:vertAlign w:val="baseline"/>
        </w:rPr>
        <w:t> </w:t>
      </w:r>
      <w:r>
        <w:rPr>
          <w:sz w:val="20"/>
          <w:vertAlign w:val="baseline"/>
        </w:rPr>
        <w:t>§ 49.45(9r)(dm) and (f)</w:t>
      </w:r>
    </w:p>
    <w:p>
      <w:pPr>
        <w:spacing w:line="229" w:lineRule="exact" w:before="0"/>
        <w:ind w:left="100" w:right="0" w:firstLine="0"/>
        <w:jc w:val="left"/>
        <w:rPr>
          <w:sz w:val="20"/>
        </w:rPr>
      </w:pPr>
      <w:r>
        <w:rPr>
          <w:spacing w:val="-2"/>
          <w:sz w:val="20"/>
          <w:vertAlign w:val="superscript"/>
        </w:rPr>
        <w:t>2</w:t>
      </w:r>
      <w:r>
        <w:rPr>
          <w:spacing w:val="32"/>
          <w:sz w:val="20"/>
          <w:vertAlign w:val="baseline"/>
        </w:rPr>
        <w:t>  </w:t>
      </w:r>
      <w:r>
        <w:rPr>
          <w:spacing w:val="-2"/>
          <w:sz w:val="20"/>
          <w:vertAlign w:val="baseline"/>
        </w:rPr>
        <w:t>https</w:t>
      </w:r>
      <w:hyperlink r:id="rId6">
        <w:r>
          <w:rPr>
            <w:spacing w:val="-2"/>
            <w:sz w:val="20"/>
            <w:vertAlign w:val="baseline"/>
          </w:rPr>
          <w:t>://www.cliniciantaskforce.us/resource/scope-of-practice-for-seating-and-wheeled-mobility-clinical-services</w:t>
        </w:r>
      </w:hyperlink>
    </w:p>
    <w:p>
      <w:pPr>
        <w:spacing w:line="229" w:lineRule="exact" w:before="0"/>
        <w:ind w:left="100" w:right="0" w:firstLine="0"/>
        <w:jc w:val="left"/>
        <w:rPr>
          <w:sz w:val="20"/>
        </w:rPr>
      </w:pPr>
      <w:r>
        <w:rPr>
          <w:spacing w:val="-2"/>
          <w:sz w:val="20"/>
          <w:vertAlign w:val="superscript"/>
        </w:rPr>
        <w:t>3</w:t>
      </w:r>
      <w:r>
        <w:rPr>
          <w:spacing w:val="66"/>
          <w:sz w:val="20"/>
          <w:vertAlign w:val="baseline"/>
        </w:rPr>
        <w:t> </w:t>
      </w:r>
      <w:r>
        <w:rPr>
          <w:spacing w:val="-2"/>
          <w:sz w:val="20"/>
          <w:vertAlign w:val="baseline"/>
        </w:rPr>
        <w:t>https://nrrts.org/wp-content/uploads/2019/05/NRRTS-Standards-of-Practice.pdf</w:t>
      </w:r>
    </w:p>
    <w:p>
      <w:pPr>
        <w:spacing w:before="0"/>
        <w:ind w:left="100" w:right="143" w:firstLine="0"/>
        <w:jc w:val="left"/>
        <w:rPr>
          <w:sz w:val="20"/>
        </w:rPr>
      </w:pPr>
      <w:r>
        <w:rPr>
          <w:sz w:val="20"/>
          <w:vertAlign w:val="superscript"/>
        </w:rPr>
        <w:t>4</w:t>
      </w:r>
      <w:r>
        <w:rPr>
          <w:spacing w:val="-3"/>
          <w:sz w:val="20"/>
          <w:vertAlign w:val="baseline"/>
        </w:rPr>
        <w:t> </w:t>
      </w:r>
      <w:r>
        <w:rPr>
          <w:sz w:val="20"/>
          <w:vertAlign w:val="baseline"/>
        </w:rPr>
        <w:t>See,</w:t>
      </w:r>
      <w:r>
        <w:rPr>
          <w:spacing w:val="-2"/>
          <w:sz w:val="20"/>
          <w:vertAlign w:val="baseline"/>
        </w:rPr>
        <w:t> </w:t>
      </w:r>
      <w:r>
        <w:rPr>
          <w:sz w:val="20"/>
          <w:vertAlign w:val="baseline"/>
        </w:rPr>
        <w:t>CMS</w:t>
      </w:r>
      <w:r>
        <w:rPr>
          <w:spacing w:val="-3"/>
          <w:sz w:val="20"/>
          <w:vertAlign w:val="baseline"/>
        </w:rPr>
        <w:t> </w:t>
      </w:r>
      <w:r>
        <w:rPr>
          <w:sz w:val="20"/>
          <w:vertAlign w:val="baseline"/>
        </w:rPr>
        <w:t>Medicare</w:t>
      </w:r>
      <w:r>
        <w:rPr>
          <w:spacing w:val="-3"/>
          <w:sz w:val="20"/>
          <w:vertAlign w:val="baseline"/>
        </w:rPr>
        <w:t> </w:t>
      </w:r>
      <w:r>
        <w:rPr>
          <w:sz w:val="20"/>
          <w:vertAlign w:val="baseline"/>
        </w:rPr>
        <w:t>Benefit</w:t>
      </w:r>
      <w:r>
        <w:rPr>
          <w:spacing w:val="-4"/>
          <w:sz w:val="20"/>
          <w:vertAlign w:val="baseline"/>
        </w:rPr>
        <w:t> </w:t>
      </w:r>
      <w:r>
        <w:rPr>
          <w:sz w:val="20"/>
          <w:vertAlign w:val="baseline"/>
        </w:rPr>
        <w:t>Policy</w:t>
      </w:r>
      <w:r>
        <w:rPr>
          <w:spacing w:val="-2"/>
          <w:sz w:val="20"/>
          <w:vertAlign w:val="baseline"/>
        </w:rPr>
        <w:t> </w:t>
      </w:r>
      <w:r>
        <w:rPr>
          <w:sz w:val="20"/>
          <w:vertAlign w:val="baseline"/>
        </w:rPr>
        <w:t>Manual,</w:t>
      </w:r>
      <w:r>
        <w:rPr>
          <w:spacing w:val="-3"/>
          <w:sz w:val="20"/>
          <w:vertAlign w:val="baseline"/>
        </w:rPr>
        <w:t> </w:t>
      </w:r>
      <w:r>
        <w:rPr>
          <w:sz w:val="20"/>
          <w:vertAlign w:val="baseline"/>
        </w:rPr>
        <w:t>Pub.</w:t>
      </w:r>
      <w:r>
        <w:rPr>
          <w:spacing w:val="-5"/>
          <w:sz w:val="20"/>
          <w:vertAlign w:val="baseline"/>
        </w:rPr>
        <w:t> </w:t>
      </w:r>
      <w:r>
        <w:rPr>
          <w:sz w:val="20"/>
          <w:vertAlign w:val="baseline"/>
        </w:rPr>
        <w:t>No.</w:t>
      </w:r>
      <w:r>
        <w:rPr>
          <w:spacing w:val="-3"/>
          <w:sz w:val="20"/>
          <w:vertAlign w:val="baseline"/>
        </w:rPr>
        <w:t> </w:t>
      </w:r>
      <w:r>
        <w:rPr>
          <w:sz w:val="20"/>
          <w:vertAlign w:val="baseline"/>
        </w:rPr>
        <w:t>100-02,</w:t>
      </w:r>
      <w:r>
        <w:rPr>
          <w:spacing w:val="-3"/>
          <w:sz w:val="20"/>
          <w:vertAlign w:val="baseline"/>
        </w:rPr>
        <w:t> </w:t>
      </w:r>
      <w:r>
        <w:rPr>
          <w:sz w:val="20"/>
          <w:vertAlign w:val="baseline"/>
        </w:rPr>
        <w:t>Ch.</w:t>
      </w:r>
      <w:r>
        <w:rPr>
          <w:spacing w:val="-3"/>
          <w:sz w:val="20"/>
          <w:vertAlign w:val="baseline"/>
        </w:rPr>
        <w:t> </w:t>
      </w:r>
      <w:r>
        <w:rPr>
          <w:sz w:val="20"/>
          <w:vertAlign w:val="baseline"/>
        </w:rPr>
        <w:t>15,</w:t>
      </w:r>
      <w:r>
        <w:rPr>
          <w:spacing w:val="-3"/>
          <w:sz w:val="20"/>
          <w:vertAlign w:val="baseline"/>
        </w:rPr>
        <w:t> </w:t>
      </w:r>
      <w:r>
        <w:rPr>
          <w:sz w:val="20"/>
          <w:vertAlign w:val="baseline"/>
        </w:rPr>
        <w:t>§110.2B,</w:t>
      </w:r>
      <w:r>
        <w:rPr>
          <w:spacing w:val="-3"/>
          <w:sz w:val="20"/>
          <w:vertAlign w:val="baseline"/>
        </w:rPr>
        <w:t> </w:t>
      </w:r>
      <w:r>
        <w:rPr>
          <w:sz w:val="20"/>
          <w:vertAlign w:val="baseline"/>
        </w:rPr>
        <w:t>which</w:t>
      </w:r>
      <w:r>
        <w:rPr>
          <w:spacing w:val="-2"/>
          <w:sz w:val="20"/>
          <w:vertAlign w:val="baseline"/>
        </w:rPr>
        <w:t> </w:t>
      </w:r>
      <w:r>
        <w:rPr>
          <w:sz w:val="20"/>
          <w:vertAlign w:val="baseline"/>
        </w:rPr>
        <w:t>states,</w:t>
      </w:r>
      <w:r>
        <w:rPr>
          <w:spacing w:val="-3"/>
          <w:sz w:val="20"/>
          <w:vertAlign w:val="baseline"/>
        </w:rPr>
        <w:t> </w:t>
      </w:r>
      <w:r>
        <w:rPr>
          <w:sz w:val="20"/>
          <w:vertAlign w:val="baseline"/>
        </w:rPr>
        <w:t>“Routine</w:t>
      </w:r>
      <w:r>
        <w:rPr>
          <w:spacing w:val="-3"/>
          <w:sz w:val="20"/>
          <w:vertAlign w:val="baseline"/>
        </w:rPr>
        <w:t> </w:t>
      </w:r>
      <w:r>
        <w:rPr>
          <w:sz w:val="20"/>
          <w:vertAlign w:val="baseline"/>
        </w:rPr>
        <w:t>periodic servicing, such as testing, cleaning, regulating,</w:t>
      </w:r>
      <w:r>
        <w:rPr>
          <w:spacing w:val="-1"/>
          <w:sz w:val="20"/>
          <w:vertAlign w:val="baseline"/>
        </w:rPr>
        <w:t> </w:t>
      </w:r>
      <w:r>
        <w:rPr>
          <w:sz w:val="20"/>
          <w:vertAlign w:val="baseline"/>
        </w:rPr>
        <w:t>and checking of the beneficiary’s equipment, is not covered.</w:t>
      </w:r>
      <w:r>
        <w:rPr>
          <w:spacing w:val="-3"/>
          <w:sz w:val="20"/>
          <w:vertAlign w:val="baseline"/>
        </w:rPr>
        <w:t> </w:t>
      </w:r>
      <w:r>
        <w:rPr>
          <w:sz w:val="20"/>
          <w:vertAlign w:val="baseline"/>
        </w:rPr>
        <w:t>The</w:t>
      </w:r>
    </w:p>
    <w:p>
      <w:pPr>
        <w:pStyle w:val="BodyText"/>
        <w:ind w:left="0"/>
        <w:rPr>
          <w:sz w:val="16"/>
        </w:rPr>
      </w:pPr>
    </w:p>
    <w:p>
      <w:pPr>
        <w:pStyle w:val="BodyText"/>
        <w:spacing w:before="158"/>
        <w:ind w:left="0"/>
        <w:rPr>
          <w:sz w:val="16"/>
        </w:rPr>
      </w:pPr>
    </w:p>
    <w:p>
      <w:pPr>
        <w:spacing w:before="0"/>
        <w:ind w:left="100" w:right="0" w:firstLine="0"/>
        <w:jc w:val="left"/>
        <w:rPr>
          <w:rFonts w:ascii="Calibri"/>
          <w:sz w:val="16"/>
        </w:rPr>
      </w:pPr>
      <w:r>
        <w:rPr>
          <w:rFonts w:ascii="Calibri"/>
          <w:sz w:val="16"/>
        </w:rPr>
        <w:t>{D1157945.DOCX</w:t>
      </w:r>
      <w:r>
        <w:rPr>
          <w:rFonts w:ascii="Calibri"/>
          <w:spacing w:val="-8"/>
          <w:sz w:val="16"/>
        </w:rPr>
        <w:t> </w:t>
      </w:r>
      <w:r>
        <w:rPr>
          <w:rFonts w:ascii="Calibri"/>
          <w:sz w:val="16"/>
        </w:rPr>
        <w:t>/</w:t>
      </w:r>
      <w:r>
        <w:rPr>
          <w:rFonts w:ascii="Calibri"/>
          <w:spacing w:val="-3"/>
          <w:sz w:val="16"/>
        </w:rPr>
        <w:t> </w:t>
      </w:r>
      <w:r>
        <w:rPr>
          <w:rFonts w:ascii="Calibri"/>
          <w:sz w:val="16"/>
        </w:rPr>
        <w:t>1</w:t>
      </w:r>
      <w:r>
        <w:rPr>
          <w:rFonts w:ascii="Calibri"/>
          <w:spacing w:val="-2"/>
          <w:sz w:val="16"/>
        </w:rPr>
        <w:t> </w:t>
      </w:r>
      <w:r>
        <w:rPr>
          <w:rFonts w:ascii="Calibri"/>
          <w:spacing w:val="-10"/>
          <w:sz w:val="16"/>
        </w:rPr>
        <w:t>}</w:t>
      </w:r>
    </w:p>
    <w:p>
      <w:pPr>
        <w:spacing w:after="0"/>
        <w:jc w:val="left"/>
        <w:rPr>
          <w:rFonts w:ascii="Calibri"/>
          <w:sz w:val="16"/>
        </w:rPr>
        <w:sectPr>
          <w:type w:val="continuous"/>
          <w:pgSz w:w="12240" w:h="15840"/>
          <w:pgMar w:top="720" w:bottom="280" w:left="1340" w:right="1320"/>
        </w:sectPr>
      </w:pPr>
    </w:p>
    <w:p>
      <w:pPr>
        <w:pStyle w:val="BodyText"/>
        <w:spacing w:before="79"/>
        <w:ind w:left="820" w:right="128"/>
      </w:pPr>
      <w:r>
        <w:rPr/>
        <w:t>Coverage of preventative maintenance will keep individuals who use wheelchairs safe by ensuring that CRT manual and power wheelchairs are kept in good working condition while reducing the likelihood of catastrophic breakdowns.</w:t>
      </w:r>
      <w:r>
        <w:rPr>
          <w:spacing w:val="40"/>
        </w:rPr>
        <w:t> </w:t>
      </w:r>
      <w:r>
        <w:rPr/>
        <w:t>This coverage should include adequate reimbursement for suppliers to both travel to patients’</w:t>
      </w:r>
      <w:r>
        <w:rPr>
          <w:spacing w:val="-10"/>
        </w:rPr>
        <w:t> </w:t>
      </w:r>
      <w:r>
        <w:rPr/>
        <w:t>homes and assess and diagnose the repairs needed, which can help reduce additional device damage and the need for emergency repair.</w:t>
      </w:r>
      <w:r>
        <w:rPr>
          <w:spacing w:val="40"/>
        </w:rPr>
        <w:t> </w:t>
      </w:r>
      <w:r>
        <w:rPr/>
        <w:t>Medicare and other payers routinely cover maintenance of existing</w:t>
      </w:r>
      <w:r>
        <w:rPr>
          <w:spacing w:val="-4"/>
        </w:rPr>
        <w:t> </w:t>
      </w:r>
      <w:r>
        <w:rPr/>
        <w:t>prostheses</w:t>
      </w:r>
      <w:r>
        <w:rPr>
          <w:spacing w:val="-4"/>
        </w:rPr>
        <w:t> </w:t>
      </w:r>
      <w:r>
        <w:rPr/>
        <w:t>and</w:t>
      </w:r>
      <w:r>
        <w:rPr>
          <w:spacing w:val="-4"/>
        </w:rPr>
        <w:t> </w:t>
      </w:r>
      <w:r>
        <w:rPr/>
        <w:t>orthoses</w:t>
      </w:r>
      <w:r>
        <w:rPr>
          <w:spacing w:val="-4"/>
        </w:rPr>
        <w:t> </w:t>
      </w:r>
      <w:r>
        <w:rPr/>
        <w:t>to</w:t>
      </w:r>
      <w:r>
        <w:rPr>
          <w:spacing w:val="-4"/>
        </w:rPr>
        <w:t> </w:t>
      </w:r>
      <w:r>
        <w:rPr/>
        <w:t>keep</w:t>
      </w:r>
      <w:r>
        <w:rPr>
          <w:spacing w:val="-4"/>
        </w:rPr>
        <w:t> </w:t>
      </w:r>
      <w:r>
        <w:rPr/>
        <w:t>these</w:t>
      </w:r>
      <w:r>
        <w:rPr>
          <w:spacing w:val="-4"/>
        </w:rPr>
        <w:t> </w:t>
      </w:r>
      <w:r>
        <w:rPr/>
        <w:t>mobility</w:t>
      </w:r>
      <w:r>
        <w:rPr>
          <w:spacing w:val="-4"/>
        </w:rPr>
        <w:t> </w:t>
      </w:r>
      <w:r>
        <w:rPr/>
        <w:t>devices</w:t>
      </w:r>
      <w:r>
        <w:rPr>
          <w:spacing w:val="-3"/>
        </w:rPr>
        <w:t> </w:t>
      </w:r>
      <w:r>
        <w:rPr/>
        <w:t>performing</w:t>
      </w:r>
      <w:r>
        <w:rPr>
          <w:spacing w:val="-2"/>
        </w:rPr>
        <w:t> </w:t>
      </w:r>
      <w:r>
        <w:rPr/>
        <w:t>optimally</w:t>
      </w:r>
      <w:r>
        <w:rPr>
          <w:spacing w:val="-3"/>
        </w:rPr>
        <w:t> </w:t>
      </w:r>
      <w:r>
        <w:rPr/>
        <w:t>thus limiting the risk of catastrophic failure and patient harm.</w:t>
      </w:r>
      <w:r>
        <w:rPr>
          <w:spacing w:val="80"/>
        </w:rPr>
        <w:t> </w:t>
      </w:r>
      <w:r>
        <w:rPr/>
        <w:t>Medicare should adopt the</w:t>
      </w:r>
      <w:r>
        <w:rPr>
          <w:spacing w:val="40"/>
        </w:rPr>
        <w:t> </w:t>
      </w:r>
      <w:r>
        <w:rPr/>
        <w:t>same policy for CRT mobility devices.</w:t>
      </w:r>
    </w:p>
    <w:p>
      <w:pPr>
        <w:pStyle w:val="Heading1"/>
      </w:pPr>
      <w:r>
        <w:rPr/>
        <w:t>Solution</w:t>
      </w:r>
      <w:r>
        <w:rPr>
          <w:spacing w:val="-5"/>
        </w:rPr>
        <w:t> </w:t>
      </w:r>
      <w:r>
        <w:rPr/>
        <w:t>#2</w:t>
      </w:r>
      <w:r>
        <w:rPr>
          <w:spacing w:val="-2"/>
        </w:rPr>
        <w:t> </w:t>
      </w:r>
      <w:r>
        <w:rPr/>
        <w:t>–</w:t>
      </w:r>
      <w:r>
        <w:rPr>
          <w:spacing w:val="-2"/>
        </w:rPr>
        <w:t> </w:t>
      </w:r>
      <w:r>
        <w:rPr/>
        <w:t>Require</w:t>
      </w:r>
      <w:r>
        <w:rPr>
          <w:spacing w:val="-3"/>
        </w:rPr>
        <w:t> </w:t>
      </w:r>
      <w:r>
        <w:rPr/>
        <w:t>suppliers</w:t>
      </w:r>
      <w:r>
        <w:rPr>
          <w:spacing w:val="-2"/>
        </w:rPr>
        <w:t> </w:t>
      </w:r>
      <w:r>
        <w:rPr/>
        <w:t>to</w:t>
      </w:r>
      <w:r>
        <w:rPr>
          <w:spacing w:val="-2"/>
        </w:rPr>
        <w:t> </w:t>
      </w:r>
      <w:r>
        <w:rPr/>
        <w:t>repair</w:t>
      </w:r>
      <w:r>
        <w:rPr>
          <w:spacing w:val="-5"/>
        </w:rPr>
        <w:t> </w:t>
      </w:r>
      <w:r>
        <w:rPr/>
        <w:t>the</w:t>
      </w:r>
      <w:r>
        <w:rPr>
          <w:spacing w:val="-3"/>
        </w:rPr>
        <w:t> </w:t>
      </w:r>
      <w:r>
        <w:rPr/>
        <w:t>devices</w:t>
      </w:r>
      <w:r>
        <w:rPr>
          <w:spacing w:val="-2"/>
        </w:rPr>
        <w:t> </w:t>
      </w:r>
      <w:r>
        <w:rPr/>
        <w:t>they</w:t>
      </w:r>
      <w:r>
        <w:rPr>
          <w:spacing w:val="-2"/>
        </w:rPr>
        <w:t> </w:t>
      </w:r>
      <w:r>
        <w:rPr/>
        <w:t>provide</w:t>
      </w:r>
      <w:r>
        <w:rPr>
          <w:spacing w:val="-3"/>
        </w:rPr>
        <w:t> </w:t>
      </w:r>
      <w:r>
        <w:rPr/>
        <w:t>in</w:t>
      </w:r>
      <w:r>
        <w:rPr>
          <w:spacing w:val="-1"/>
        </w:rPr>
        <w:t> </w:t>
      </w:r>
      <w:r>
        <w:rPr/>
        <w:t>a timely</w:t>
      </w:r>
      <w:r>
        <w:rPr>
          <w:spacing w:val="-2"/>
        </w:rPr>
        <w:t> manner.</w:t>
      </w:r>
    </w:p>
    <w:p>
      <w:pPr>
        <w:pStyle w:val="ListParagraph"/>
        <w:numPr>
          <w:ilvl w:val="0"/>
          <w:numId w:val="1"/>
        </w:numPr>
        <w:tabs>
          <w:tab w:pos="820" w:val="left" w:leader="none"/>
        </w:tabs>
        <w:spacing w:line="240" w:lineRule="auto" w:before="158" w:after="0"/>
        <w:ind w:left="820" w:right="141" w:hanging="360"/>
        <w:jc w:val="left"/>
        <w:rPr>
          <w:sz w:val="24"/>
        </w:rPr>
      </w:pPr>
      <w:r>
        <w:rPr>
          <w:sz w:val="24"/>
        </w:rPr>
        <w:t>Individuals who use CRT manual or power wheelchairs must have direct and reliable access</w:t>
      </w:r>
      <w:r>
        <w:rPr>
          <w:spacing w:val="-3"/>
          <w:sz w:val="24"/>
        </w:rPr>
        <w:t> </w:t>
      </w:r>
      <w:r>
        <w:rPr>
          <w:sz w:val="24"/>
        </w:rPr>
        <w:t>to</w:t>
      </w:r>
      <w:r>
        <w:rPr>
          <w:spacing w:val="-3"/>
          <w:sz w:val="24"/>
        </w:rPr>
        <w:t> </w:t>
      </w:r>
      <w:r>
        <w:rPr>
          <w:sz w:val="24"/>
        </w:rPr>
        <w:t>timely</w:t>
      </w:r>
      <w:r>
        <w:rPr>
          <w:spacing w:val="-2"/>
          <w:sz w:val="24"/>
        </w:rPr>
        <w:t> </w:t>
      </w:r>
      <w:r>
        <w:rPr>
          <w:sz w:val="24"/>
        </w:rPr>
        <w:t>service</w:t>
      </w:r>
      <w:r>
        <w:rPr>
          <w:spacing w:val="-4"/>
          <w:sz w:val="24"/>
        </w:rPr>
        <w:t> </w:t>
      </w:r>
      <w:r>
        <w:rPr>
          <w:sz w:val="24"/>
        </w:rPr>
        <w:t>and</w:t>
      </w:r>
      <w:r>
        <w:rPr>
          <w:spacing w:val="-3"/>
          <w:sz w:val="24"/>
        </w:rPr>
        <w:t> </w:t>
      </w:r>
      <w:r>
        <w:rPr>
          <w:sz w:val="24"/>
        </w:rPr>
        <w:t>repair</w:t>
      </w:r>
      <w:r>
        <w:rPr>
          <w:spacing w:val="-3"/>
          <w:sz w:val="24"/>
        </w:rPr>
        <w:t> </w:t>
      </w:r>
      <w:r>
        <w:rPr>
          <w:sz w:val="24"/>
        </w:rPr>
        <w:t>in</w:t>
      </w:r>
      <w:r>
        <w:rPr>
          <w:spacing w:val="-3"/>
          <w:sz w:val="24"/>
        </w:rPr>
        <w:t> </w:t>
      </w:r>
      <w:r>
        <w:rPr>
          <w:sz w:val="24"/>
        </w:rPr>
        <w:t>order</w:t>
      </w:r>
      <w:r>
        <w:rPr>
          <w:spacing w:val="-3"/>
          <w:sz w:val="24"/>
        </w:rPr>
        <w:t> </w:t>
      </w:r>
      <w:r>
        <w:rPr>
          <w:sz w:val="24"/>
        </w:rPr>
        <w:t>to</w:t>
      </w:r>
      <w:r>
        <w:rPr>
          <w:spacing w:val="-3"/>
          <w:sz w:val="24"/>
        </w:rPr>
        <w:t> </w:t>
      </w:r>
      <w:r>
        <w:rPr>
          <w:sz w:val="24"/>
        </w:rPr>
        <w:t>maintain</w:t>
      </w:r>
      <w:r>
        <w:rPr>
          <w:spacing w:val="-2"/>
          <w:sz w:val="24"/>
        </w:rPr>
        <w:t> </w:t>
      </w:r>
      <w:r>
        <w:rPr>
          <w:sz w:val="24"/>
        </w:rPr>
        <w:t>their</w:t>
      </w:r>
      <w:r>
        <w:rPr>
          <w:spacing w:val="-4"/>
          <w:sz w:val="24"/>
        </w:rPr>
        <w:t> </w:t>
      </w:r>
      <w:r>
        <w:rPr>
          <w:sz w:val="24"/>
        </w:rPr>
        <w:t>health,</w:t>
      </w:r>
      <w:r>
        <w:rPr>
          <w:spacing w:val="-3"/>
          <w:sz w:val="24"/>
        </w:rPr>
        <w:t> </w:t>
      </w:r>
      <w:r>
        <w:rPr>
          <w:sz w:val="24"/>
        </w:rPr>
        <w:t>independent</w:t>
      </w:r>
      <w:r>
        <w:rPr>
          <w:spacing w:val="-3"/>
          <w:sz w:val="24"/>
        </w:rPr>
        <w:t> </w:t>
      </w:r>
      <w:r>
        <w:rPr>
          <w:sz w:val="24"/>
        </w:rPr>
        <w:t>function, and participation in mobility-related activities of daily living. To facilitate this access, all suppliers that provide complex manual or power wheelchairs must be</w:t>
      </w:r>
      <w:r>
        <w:rPr>
          <w:spacing w:val="-1"/>
          <w:sz w:val="24"/>
        </w:rPr>
        <w:t> </w:t>
      </w:r>
      <w:r>
        <w:rPr>
          <w:sz w:val="24"/>
        </w:rPr>
        <w:t>required to provide timely service and repair on the mobility devices they provide to beneficiaries (or cover the cost of a subcontractor to perform this service).</w:t>
      </w:r>
      <w:r>
        <w:rPr>
          <w:spacing w:val="74"/>
          <w:sz w:val="24"/>
        </w:rPr>
        <w:t> </w:t>
      </w:r>
      <w:r>
        <w:rPr>
          <w:sz w:val="24"/>
        </w:rPr>
        <w:t>Timeliness is impacted by a variety of factors (e.g., geographic diversity; number</w:t>
      </w:r>
      <w:r>
        <w:rPr>
          <w:spacing w:val="-2"/>
          <w:sz w:val="24"/>
        </w:rPr>
        <w:t> </w:t>
      </w:r>
      <w:r>
        <w:rPr>
          <w:sz w:val="24"/>
        </w:rPr>
        <w:t>of suppliers; workforce</w:t>
      </w:r>
      <w:r>
        <w:rPr>
          <w:spacing w:val="-1"/>
          <w:sz w:val="24"/>
        </w:rPr>
        <w:t> </w:t>
      </w:r>
      <w:r>
        <w:rPr>
          <w:sz w:val="24"/>
        </w:rPr>
        <w:t>limitations)</w:t>
      </w:r>
      <w:r>
        <w:rPr>
          <w:spacing w:val="-1"/>
          <w:sz w:val="24"/>
        </w:rPr>
        <w:t> </w:t>
      </w:r>
      <w:r>
        <w:rPr>
          <w:sz w:val="24"/>
        </w:rPr>
        <w:t>and the ITEM Coalition recognizes there are limits to this requirement, particularly in the following instances:</w:t>
      </w:r>
    </w:p>
    <w:p>
      <w:pPr>
        <w:pStyle w:val="BodyText"/>
        <w:ind w:left="0"/>
      </w:pPr>
    </w:p>
    <w:p>
      <w:pPr>
        <w:pStyle w:val="ListParagraph"/>
        <w:numPr>
          <w:ilvl w:val="1"/>
          <w:numId w:val="1"/>
        </w:numPr>
        <w:tabs>
          <w:tab w:pos="1539" w:val="left" w:leader="none"/>
        </w:tabs>
        <w:spacing w:line="286" w:lineRule="exact" w:before="0" w:after="0"/>
        <w:ind w:left="1539" w:right="0" w:hanging="359"/>
        <w:jc w:val="left"/>
        <w:rPr>
          <w:sz w:val="24"/>
        </w:rPr>
      </w:pPr>
      <w:r>
        <w:rPr>
          <w:sz w:val="24"/>
        </w:rPr>
        <w:t>The</w:t>
      </w:r>
      <w:r>
        <w:rPr>
          <w:spacing w:val="-3"/>
          <w:sz w:val="24"/>
        </w:rPr>
        <w:t> </w:t>
      </w:r>
      <w:r>
        <w:rPr>
          <w:sz w:val="24"/>
        </w:rPr>
        <w:t>beneficiary</w:t>
      </w:r>
      <w:r>
        <w:rPr>
          <w:spacing w:val="-1"/>
          <w:sz w:val="24"/>
        </w:rPr>
        <w:t> </w:t>
      </w:r>
      <w:r>
        <w:rPr>
          <w:sz w:val="24"/>
        </w:rPr>
        <w:t>is</w:t>
      </w:r>
      <w:r>
        <w:rPr>
          <w:spacing w:val="-1"/>
          <w:sz w:val="24"/>
        </w:rPr>
        <w:t> </w:t>
      </w:r>
      <w:r>
        <w:rPr>
          <w:sz w:val="24"/>
        </w:rPr>
        <w:t>out</w:t>
      </w:r>
      <w:r>
        <w:rPr>
          <w:spacing w:val="-1"/>
          <w:sz w:val="24"/>
        </w:rPr>
        <w:t> </w:t>
      </w:r>
      <w:r>
        <w:rPr>
          <w:sz w:val="24"/>
        </w:rPr>
        <w:t>of the</w:t>
      </w:r>
      <w:r>
        <w:rPr>
          <w:spacing w:val="-1"/>
          <w:sz w:val="24"/>
        </w:rPr>
        <w:t> </w:t>
      </w:r>
      <w:r>
        <w:rPr>
          <w:sz w:val="24"/>
        </w:rPr>
        <w:t>service</w:t>
      </w:r>
      <w:r>
        <w:rPr>
          <w:spacing w:val="1"/>
          <w:sz w:val="24"/>
        </w:rPr>
        <w:t> </w:t>
      </w:r>
      <w:r>
        <w:rPr>
          <w:sz w:val="24"/>
        </w:rPr>
        <w:t>area</w:t>
      </w:r>
      <w:r>
        <w:rPr>
          <w:spacing w:val="-2"/>
          <w:sz w:val="24"/>
        </w:rPr>
        <w:t> </w:t>
      </w:r>
      <w:r>
        <w:rPr>
          <w:sz w:val="24"/>
        </w:rPr>
        <w:t>due</w:t>
      </w:r>
      <w:r>
        <w:rPr>
          <w:spacing w:val="-2"/>
          <w:sz w:val="24"/>
        </w:rPr>
        <w:t> </w:t>
      </w:r>
      <w:r>
        <w:rPr>
          <w:sz w:val="24"/>
        </w:rPr>
        <w:t>to</w:t>
      </w:r>
      <w:r>
        <w:rPr>
          <w:spacing w:val="-1"/>
          <w:sz w:val="24"/>
        </w:rPr>
        <w:t> </w:t>
      </w:r>
      <w:r>
        <w:rPr>
          <w:sz w:val="24"/>
        </w:rPr>
        <w:t>change</w:t>
      </w:r>
      <w:r>
        <w:rPr>
          <w:spacing w:val="-2"/>
          <w:sz w:val="24"/>
        </w:rPr>
        <w:t> </w:t>
      </w:r>
      <w:r>
        <w:rPr>
          <w:sz w:val="24"/>
        </w:rPr>
        <w:t>of</w:t>
      </w:r>
      <w:r>
        <w:rPr>
          <w:spacing w:val="-1"/>
          <w:sz w:val="24"/>
        </w:rPr>
        <w:t> </w:t>
      </w:r>
      <w:r>
        <w:rPr>
          <w:sz w:val="24"/>
        </w:rPr>
        <w:t>residence; </w:t>
      </w:r>
      <w:r>
        <w:rPr>
          <w:spacing w:val="-5"/>
          <w:sz w:val="24"/>
        </w:rPr>
        <w:t>or,</w:t>
      </w:r>
    </w:p>
    <w:p>
      <w:pPr>
        <w:pStyle w:val="ListParagraph"/>
        <w:numPr>
          <w:ilvl w:val="1"/>
          <w:numId w:val="1"/>
        </w:numPr>
        <w:tabs>
          <w:tab w:pos="1540" w:val="left" w:leader="none"/>
        </w:tabs>
        <w:spacing w:line="223" w:lineRule="auto" w:before="4" w:after="0"/>
        <w:ind w:left="1540" w:right="515" w:hanging="360"/>
        <w:jc w:val="left"/>
        <w:rPr>
          <w:sz w:val="24"/>
        </w:rPr>
      </w:pPr>
      <w:r>
        <w:rPr>
          <w:sz w:val="24"/>
        </w:rPr>
        <w:t>Contractual</w:t>
      </w:r>
      <w:r>
        <w:rPr>
          <w:spacing w:val="-5"/>
          <w:sz w:val="24"/>
        </w:rPr>
        <w:t> </w:t>
      </w:r>
      <w:r>
        <w:rPr>
          <w:sz w:val="24"/>
        </w:rPr>
        <w:t>restrictions</w:t>
      </w:r>
      <w:r>
        <w:rPr>
          <w:spacing w:val="-3"/>
          <w:sz w:val="24"/>
        </w:rPr>
        <w:t> </w:t>
      </w:r>
      <w:r>
        <w:rPr>
          <w:sz w:val="24"/>
        </w:rPr>
        <w:t>with</w:t>
      </w:r>
      <w:r>
        <w:rPr>
          <w:spacing w:val="-5"/>
          <w:sz w:val="24"/>
        </w:rPr>
        <w:t> </w:t>
      </w:r>
      <w:r>
        <w:rPr>
          <w:sz w:val="24"/>
        </w:rPr>
        <w:t>certain</w:t>
      </w:r>
      <w:r>
        <w:rPr>
          <w:spacing w:val="-5"/>
          <w:sz w:val="24"/>
        </w:rPr>
        <w:t> </w:t>
      </w:r>
      <w:r>
        <w:rPr>
          <w:sz w:val="24"/>
        </w:rPr>
        <w:t>payers</w:t>
      </w:r>
      <w:r>
        <w:rPr>
          <w:spacing w:val="-5"/>
          <w:sz w:val="24"/>
        </w:rPr>
        <w:t> </w:t>
      </w:r>
      <w:r>
        <w:rPr>
          <w:sz w:val="24"/>
        </w:rPr>
        <w:t>do</w:t>
      </w:r>
      <w:r>
        <w:rPr>
          <w:spacing w:val="-5"/>
          <w:sz w:val="24"/>
        </w:rPr>
        <w:t> </w:t>
      </w:r>
      <w:r>
        <w:rPr>
          <w:sz w:val="24"/>
        </w:rPr>
        <w:t>not</w:t>
      </w:r>
      <w:r>
        <w:rPr>
          <w:spacing w:val="-5"/>
          <w:sz w:val="24"/>
        </w:rPr>
        <w:t> </w:t>
      </w:r>
      <w:r>
        <w:rPr>
          <w:sz w:val="24"/>
        </w:rPr>
        <w:t>allow</w:t>
      </w:r>
      <w:r>
        <w:rPr>
          <w:spacing w:val="-5"/>
          <w:sz w:val="24"/>
        </w:rPr>
        <w:t> </w:t>
      </w:r>
      <w:r>
        <w:rPr>
          <w:sz w:val="24"/>
        </w:rPr>
        <w:t>previously</w:t>
      </w:r>
      <w:r>
        <w:rPr>
          <w:spacing w:val="-5"/>
          <w:sz w:val="24"/>
        </w:rPr>
        <w:t> </w:t>
      </w:r>
      <w:r>
        <w:rPr>
          <w:sz w:val="24"/>
        </w:rPr>
        <w:t>contracted suppliers to service the equipment.</w:t>
      </w:r>
    </w:p>
    <w:p>
      <w:pPr>
        <w:pStyle w:val="BodyText"/>
        <w:spacing w:before="166"/>
        <w:ind w:left="820" w:right="143"/>
      </w:pPr>
      <w:r>
        <w:rPr/>
        <w:t>In all instances, both beneficiaries and suppliers have a mutual obligation to treat each other with respect and fully cooperate with each other to help ensure an efficient and effective</w:t>
      </w:r>
      <w:r>
        <w:rPr>
          <w:spacing w:val="-5"/>
        </w:rPr>
        <w:t> </w:t>
      </w:r>
      <w:r>
        <w:rPr/>
        <w:t>resolution</w:t>
      </w:r>
      <w:r>
        <w:rPr>
          <w:spacing w:val="-4"/>
        </w:rPr>
        <w:t> </w:t>
      </w:r>
      <w:r>
        <w:rPr/>
        <w:t>of</w:t>
      </w:r>
      <w:r>
        <w:rPr>
          <w:spacing w:val="-4"/>
        </w:rPr>
        <w:t> </w:t>
      </w:r>
      <w:r>
        <w:rPr/>
        <w:t>the</w:t>
      </w:r>
      <w:r>
        <w:rPr>
          <w:spacing w:val="-5"/>
        </w:rPr>
        <w:t> </w:t>
      </w:r>
      <w:r>
        <w:rPr/>
        <w:t>problem</w:t>
      </w:r>
      <w:r>
        <w:rPr>
          <w:spacing w:val="-4"/>
        </w:rPr>
        <w:t> </w:t>
      </w:r>
      <w:r>
        <w:rPr/>
        <w:t>with</w:t>
      </w:r>
      <w:r>
        <w:rPr>
          <w:spacing w:val="-4"/>
        </w:rPr>
        <w:t> </w:t>
      </w:r>
      <w:r>
        <w:rPr/>
        <w:t>the</w:t>
      </w:r>
      <w:r>
        <w:rPr>
          <w:spacing w:val="-5"/>
        </w:rPr>
        <w:t> </w:t>
      </w:r>
      <w:r>
        <w:rPr/>
        <w:t>mobility</w:t>
      </w:r>
      <w:r>
        <w:rPr>
          <w:spacing w:val="-4"/>
        </w:rPr>
        <w:t> </w:t>
      </w:r>
      <w:r>
        <w:rPr/>
        <w:t>device,</w:t>
      </w:r>
      <w:r>
        <w:rPr>
          <w:spacing w:val="-4"/>
        </w:rPr>
        <w:t> </w:t>
      </w:r>
      <w:r>
        <w:rPr/>
        <w:t>including</w:t>
      </w:r>
      <w:r>
        <w:rPr>
          <w:spacing w:val="-4"/>
        </w:rPr>
        <w:t> </w:t>
      </w:r>
      <w:r>
        <w:rPr/>
        <w:t>providing</w:t>
      </w:r>
      <w:r>
        <w:rPr>
          <w:spacing w:val="-4"/>
        </w:rPr>
        <w:t> </w:t>
      </w:r>
      <w:r>
        <w:rPr/>
        <w:t>contacts and resources for additional help if contractual restrictions apply or the beneficiary has moved permanently out of the service area.</w:t>
      </w:r>
    </w:p>
    <w:p>
      <w:pPr>
        <w:pStyle w:val="Heading1"/>
        <w:ind w:right="169"/>
      </w:pPr>
      <w:r>
        <w:rPr/>
        <w:t>Solution</w:t>
      </w:r>
      <w:r>
        <w:rPr>
          <w:spacing w:val="-6"/>
        </w:rPr>
        <w:t> </w:t>
      </w:r>
      <w:r>
        <w:rPr/>
        <w:t>#3</w:t>
      </w:r>
      <w:r>
        <w:rPr>
          <w:spacing w:val="-6"/>
        </w:rPr>
        <w:t> </w:t>
      </w:r>
      <w:r>
        <w:rPr/>
        <w:t>–Suppliers</w:t>
      </w:r>
      <w:r>
        <w:rPr>
          <w:spacing w:val="-5"/>
        </w:rPr>
        <w:t> </w:t>
      </w:r>
      <w:r>
        <w:rPr/>
        <w:t>should</w:t>
      </w:r>
      <w:r>
        <w:rPr>
          <w:spacing w:val="-7"/>
        </w:rPr>
        <w:t> </w:t>
      </w:r>
      <w:r>
        <w:rPr/>
        <w:t>provide</w:t>
      </w:r>
      <w:r>
        <w:rPr>
          <w:spacing w:val="-7"/>
        </w:rPr>
        <w:t> </w:t>
      </w:r>
      <w:r>
        <w:rPr/>
        <w:t>appropriate</w:t>
      </w:r>
      <w:r>
        <w:rPr>
          <w:spacing w:val="-6"/>
        </w:rPr>
        <w:t> </w:t>
      </w:r>
      <w:r>
        <w:rPr/>
        <w:t>“temporary</w:t>
      </w:r>
      <w:r>
        <w:rPr>
          <w:spacing w:val="-6"/>
        </w:rPr>
        <w:t> </w:t>
      </w:r>
      <w:r>
        <w:rPr/>
        <w:t>replacement”</w:t>
      </w:r>
      <w:r>
        <w:rPr>
          <w:spacing w:val="-5"/>
        </w:rPr>
        <w:t> </w:t>
      </w:r>
      <w:r>
        <w:rPr/>
        <w:t>chairs</w:t>
      </w:r>
      <w:r>
        <w:rPr>
          <w:spacing w:val="-6"/>
        </w:rPr>
        <w:t> </w:t>
      </w:r>
      <w:r>
        <w:rPr/>
        <w:t>that are in good working order while repairs are being made.</w:t>
      </w:r>
    </w:p>
    <w:p>
      <w:pPr>
        <w:pStyle w:val="ListParagraph"/>
        <w:numPr>
          <w:ilvl w:val="0"/>
          <w:numId w:val="1"/>
        </w:numPr>
        <w:tabs>
          <w:tab w:pos="820" w:val="left" w:leader="none"/>
        </w:tabs>
        <w:spacing w:line="254" w:lineRule="auto" w:before="160" w:after="0"/>
        <w:ind w:left="820" w:right="579" w:hanging="360"/>
        <w:jc w:val="left"/>
        <w:rPr>
          <w:sz w:val="24"/>
        </w:rPr>
      </w:pPr>
      <w:r>
        <w:rPr>
          <w:sz w:val="24"/>
        </w:rPr>
        <w:t>At the request of the beneficiary, suppliers must make best efforts to provide an appropriate</w:t>
      </w:r>
      <w:r>
        <w:rPr>
          <w:spacing w:val="-5"/>
          <w:sz w:val="24"/>
        </w:rPr>
        <w:t> </w:t>
      </w:r>
      <w:r>
        <w:rPr>
          <w:sz w:val="24"/>
        </w:rPr>
        <w:t>temporary</w:t>
      </w:r>
      <w:r>
        <w:rPr>
          <w:spacing w:val="-3"/>
          <w:sz w:val="24"/>
        </w:rPr>
        <w:t> </w:t>
      </w:r>
      <w:r>
        <w:rPr>
          <w:sz w:val="24"/>
        </w:rPr>
        <w:t>replacement</w:t>
      </w:r>
      <w:r>
        <w:rPr>
          <w:spacing w:val="-3"/>
          <w:sz w:val="24"/>
        </w:rPr>
        <w:t> </w:t>
      </w:r>
      <w:r>
        <w:rPr>
          <w:sz w:val="24"/>
        </w:rPr>
        <w:t>wheelchair</w:t>
      </w:r>
      <w:r>
        <w:rPr>
          <w:spacing w:val="-5"/>
          <w:sz w:val="24"/>
        </w:rPr>
        <w:t> </w:t>
      </w:r>
      <w:r>
        <w:rPr>
          <w:sz w:val="24"/>
        </w:rPr>
        <w:t>when</w:t>
      </w:r>
      <w:r>
        <w:rPr>
          <w:spacing w:val="-4"/>
          <w:sz w:val="24"/>
        </w:rPr>
        <w:t> </w:t>
      </w:r>
      <w:r>
        <w:rPr>
          <w:sz w:val="24"/>
        </w:rPr>
        <w:t>repairs</w:t>
      </w:r>
      <w:r>
        <w:rPr>
          <w:spacing w:val="-4"/>
          <w:sz w:val="24"/>
        </w:rPr>
        <w:t> </w:t>
      </w:r>
      <w:r>
        <w:rPr>
          <w:sz w:val="24"/>
        </w:rPr>
        <w:t>will</w:t>
      </w:r>
      <w:r>
        <w:rPr>
          <w:spacing w:val="-4"/>
          <w:sz w:val="24"/>
        </w:rPr>
        <w:t> </w:t>
      </w:r>
      <w:r>
        <w:rPr>
          <w:sz w:val="24"/>
        </w:rPr>
        <w:t>require</w:t>
      </w:r>
      <w:r>
        <w:rPr>
          <w:spacing w:val="-6"/>
          <w:sz w:val="24"/>
        </w:rPr>
        <w:t> </w:t>
      </w:r>
      <w:r>
        <w:rPr>
          <w:sz w:val="24"/>
        </w:rPr>
        <w:t>the</w:t>
      </w:r>
      <w:r>
        <w:rPr>
          <w:spacing w:val="-5"/>
          <w:sz w:val="24"/>
        </w:rPr>
        <w:t> </w:t>
      </w:r>
      <w:r>
        <w:rPr>
          <w:sz w:val="24"/>
        </w:rPr>
        <w:t>mobility</w:t>
      </w:r>
    </w:p>
    <w:p>
      <w:pPr>
        <w:pStyle w:val="BodyText"/>
        <w:spacing w:line="259" w:lineRule="auto" w:before="9"/>
        <w:ind w:left="820" w:right="143"/>
      </w:pPr>
      <w:r>
        <w:rPr/>
        <w:t>device</w:t>
      </w:r>
      <w:r>
        <w:rPr>
          <w:spacing w:val="-7"/>
        </w:rPr>
        <w:t> </w:t>
      </w:r>
      <w:r>
        <w:rPr/>
        <w:t>to</w:t>
      </w:r>
      <w:r>
        <w:rPr>
          <w:spacing w:val="-6"/>
        </w:rPr>
        <w:t> </w:t>
      </w:r>
      <w:r>
        <w:rPr/>
        <w:t>be</w:t>
      </w:r>
      <w:r>
        <w:rPr>
          <w:spacing w:val="-6"/>
        </w:rPr>
        <w:t> </w:t>
      </w:r>
      <w:r>
        <w:rPr/>
        <w:t>removed</w:t>
      </w:r>
      <w:r>
        <w:rPr>
          <w:spacing w:val="-6"/>
        </w:rPr>
        <w:t> </w:t>
      </w:r>
      <w:r>
        <w:rPr/>
        <w:t>from</w:t>
      </w:r>
      <w:r>
        <w:rPr>
          <w:spacing w:val="-6"/>
        </w:rPr>
        <w:t> </w:t>
      </w:r>
      <w:r>
        <w:rPr/>
        <w:t>the</w:t>
      </w:r>
      <w:r>
        <w:rPr>
          <w:spacing w:val="-6"/>
        </w:rPr>
        <w:t> </w:t>
      </w:r>
      <w:r>
        <w:rPr/>
        <w:t>patient’s</w:t>
      </w:r>
      <w:r>
        <w:rPr>
          <w:spacing w:val="-6"/>
        </w:rPr>
        <w:t> </w:t>
      </w:r>
      <w:r>
        <w:rPr/>
        <w:t>home</w:t>
      </w:r>
      <w:r>
        <w:rPr>
          <w:spacing w:val="-6"/>
        </w:rPr>
        <w:t> </w:t>
      </w:r>
      <w:r>
        <w:rPr/>
        <w:t>overnight</w:t>
      </w:r>
      <w:r>
        <w:rPr>
          <w:spacing w:val="-4"/>
        </w:rPr>
        <w:t> </w:t>
      </w:r>
      <w:r>
        <w:rPr/>
        <w:t>or</w:t>
      </w:r>
      <w:r>
        <w:rPr>
          <w:spacing w:val="-6"/>
        </w:rPr>
        <w:t> </w:t>
      </w:r>
      <w:r>
        <w:rPr/>
        <w:t>longer.</w:t>
      </w:r>
      <w:r>
        <w:rPr>
          <w:spacing w:val="40"/>
        </w:rPr>
        <w:t> </w:t>
      </w:r>
      <w:r>
        <w:rPr/>
        <w:t>By</w:t>
      </w:r>
      <w:r>
        <w:rPr>
          <w:spacing w:val="-6"/>
        </w:rPr>
        <w:t> </w:t>
      </w:r>
      <w:r>
        <w:rPr/>
        <w:t>their</w:t>
      </w:r>
      <w:r>
        <w:rPr>
          <w:spacing w:val="-5"/>
        </w:rPr>
        <w:t> </w:t>
      </w:r>
      <w:r>
        <w:rPr/>
        <w:t>nature,</w:t>
      </w:r>
      <w:r>
        <w:rPr>
          <w:spacing w:val="-6"/>
        </w:rPr>
        <w:t> </w:t>
      </w:r>
      <w:r>
        <w:rPr/>
        <w:t>CRT wheelchairs are customized to the unique needs of individual patients which makes temporary replacement wheelchairs challenging to provide.</w:t>
      </w:r>
      <w:r>
        <w:rPr>
          <w:spacing w:val="40"/>
        </w:rPr>
        <w:t> </w:t>
      </w:r>
      <w:r>
        <w:rPr/>
        <w:t>Suppliers should strive to have temporary replacement wheelchairs meet the functional requirements of each beneficiary for the duration of the repair.</w:t>
      </w:r>
    </w:p>
    <w:p>
      <w:pPr>
        <w:pStyle w:val="ListParagraph"/>
        <w:numPr>
          <w:ilvl w:val="0"/>
          <w:numId w:val="1"/>
        </w:numPr>
        <w:tabs>
          <w:tab w:pos="820" w:val="left" w:leader="none"/>
        </w:tabs>
        <w:spacing w:line="256" w:lineRule="auto" w:before="0" w:after="0"/>
        <w:ind w:left="820" w:right="129" w:hanging="360"/>
        <w:jc w:val="left"/>
        <w:rPr>
          <w:sz w:val="24"/>
        </w:rPr>
      </w:pPr>
      <w:r>
        <w:rPr>
          <w:sz w:val="24"/>
        </w:rPr>
        <w:t>Temporary</w:t>
      </w:r>
      <w:r>
        <w:rPr>
          <w:spacing w:val="-4"/>
          <w:sz w:val="24"/>
        </w:rPr>
        <w:t> </w:t>
      </w:r>
      <w:r>
        <w:rPr>
          <w:sz w:val="24"/>
        </w:rPr>
        <w:t>replacement</w:t>
      </w:r>
      <w:r>
        <w:rPr>
          <w:spacing w:val="-3"/>
          <w:sz w:val="24"/>
        </w:rPr>
        <w:t> </w:t>
      </w:r>
      <w:r>
        <w:rPr>
          <w:sz w:val="24"/>
        </w:rPr>
        <w:t>wheelchairs</w:t>
      </w:r>
      <w:r>
        <w:rPr>
          <w:spacing w:val="-5"/>
          <w:sz w:val="24"/>
        </w:rPr>
        <w:t> </w:t>
      </w:r>
      <w:r>
        <w:rPr>
          <w:sz w:val="24"/>
        </w:rPr>
        <w:t>should</w:t>
      </w:r>
      <w:r>
        <w:rPr>
          <w:spacing w:val="-5"/>
          <w:sz w:val="24"/>
        </w:rPr>
        <w:t> </w:t>
      </w:r>
      <w:r>
        <w:rPr>
          <w:sz w:val="24"/>
        </w:rPr>
        <w:t>not</w:t>
      </w:r>
      <w:r>
        <w:rPr>
          <w:spacing w:val="-5"/>
          <w:sz w:val="24"/>
        </w:rPr>
        <w:t> </w:t>
      </w:r>
      <w:r>
        <w:rPr>
          <w:sz w:val="24"/>
        </w:rPr>
        <w:t>be</w:t>
      </w:r>
      <w:r>
        <w:rPr>
          <w:spacing w:val="-5"/>
          <w:sz w:val="24"/>
        </w:rPr>
        <w:t> </w:t>
      </w:r>
      <w:r>
        <w:rPr>
          <w:sz w:val="24"/>
        </w:rPr>
        <w:t>a</w:t>
      </w:r>
      <w:r>
        <w:rPr>
          <w:spacing w:val="-7"/>
          <w:sz w:val="24"/>
        </w:rPr>
        <w:t> </w:t>
      </w:r>
      <w:r>
        <w:rPr>
          <w:sz w:val="24"/>
        </w:rPr>
        <w:t>medium</w:t>
      </w:r>
      <w:r>
        <w:rPr>
          <w:spacing w:val="-5"/>
          <w:sz w:val="24"/>
        </w:rPr>
        <w:t> </w:t>
      </w:r>
      <w:r>
        <w:rPr>
          <w:sz w:val="24"/>
        </w:rPr>
        <w:t>or</w:t>
      </w:r>
      <w:r>
        <w:rPr>
          <w:spacing w:val="-5"/>
          <w:sz w:val="24"/>
        </w:rPr>
        <w:t> </w:t>
      </w:r>
      <w:r>
        <w:rPr>
          <w:sz w:val="24"/>
        </w:rPr>
        <w:t>long-range</w:t>
      </w:r>
      <w:r>
        <w:rPr>
          <w:spacing w:val="-6"/>
          <w:sz w:val="24"/>
        </w:rPr>
        <w:t> </w:t>
      </w:r>
      <w:r>
        <w:rPr>
          <w:sz w:val="24"/>
        </w:rPr>
        <w:t>solution</w:t>
      </w:r>
      <w:r>
        <w:rPr>
          <w:spacing w:val="-5"/>
          <w:sz w:val="24"/>
        </w:rPr>
        <w:t> </w:t>
      </w:r>
      <w:r>
        <w:rPr>
          <w:sz w:val="24"/>
        </w:rPr>
        <w:t>when an individual’s personal manual or power CRT wheelchair is in need of repair.</w:t>
      </w:r>
      <w:r>
        <w:rPr>
          <w:spacing w:val="40"/>
          <w:sz w:val="24"/>
        </w:rPr>
        <w:t> </w:t>
      </w:r>
      <w:r>
        <w:rPr>
          <w:sz w:val="24"/>
        </w:rPr>
        <w:t>A damaged</w:t>
      </w:r>
      <w:r>
        <w:rPr>
          <w:spacing w:val="-2"/>
          <w:sz w:val="24"/>
        </w:rPr>
        <w:t> </w:t>
      </w:r>
      <w:r>
        <w:rPr>
          <w:sz w:val="24"/>
        </w:rPr>
        <w:t>wheelchair</w:t>
      </w:r>
      <w:r>
        <w:rPr>
          <w:spacing w:val="-2"/>
          <w:sz w:val="24"/>
        </w:rPr>
        <w:t> </w:t>
      </w:r>
      <w:r>
        <w:rPr>
          <w:sz w:val="24"/>
        </w:rPr>
        <w:t>can lead</w:t>
      </w:r>
      <w:r>
        <w:rPr>
          <w:spacing w:val="-2"/>
          <w:sz w:val="24"/>
        </w:rPr>
        <w:t> </w:t>
      </w:r>
      <w:r>
        <w:rPr>
          <w:sz w:val="24"/>
        </w:rPr>
        <w:t>to</w:t>
      </w:r>
      <w:r>
        <w:rPr>
          <w:spacing w:val="-2"/>
          <w:sz w:val="24"/>
        </w:rPr>
        <w:t> </w:t>
      </w:r>
      <w:r>
        <w:rPr>
          <w:sz w:val="24"/>
        </w:rPr>
        <w:t>serious</w:t>
      </w:r>
      <w:r>
        <w:rPr>
          <w:spacing w:val="-2"/>
          <w:sz w:val="24"/>
        </w:rPr>
        <w:t> </w:t>
      </w:r>
      <w:r>
        <w:rPr>
          <w:sz w:val="24"/>
        </w:rPr>
        <w:t>events</w:t>
      </w:r>
      <w:r>
        <w:rPr>
          <w:spacing w:val="-2"/>
          <w:sz w:val="24"/>
        </w:rPr>
        <w:t> </w:t>
      </w:r>
      <w:r>
        <w:rPr>
          <w:sz w:val="24"/>
        </w:rPr>
        <w:t>such</w:t>
      </w:r>
      <w:r>
        <w:rPr>
          <w:spacing w:val="-2"/>
          <w:sz w:val="24"/>
        </w:rPr>
        <w:t> </w:t>
      </w:r>
      <w:r>
        <w:rPr>
          <w:sz w:val="24"/>
        </w:rPr>
        <w:t>as</w:t>
      </w:r>
      <w:r>
        <w:rPr>
          <w:spacing w:val="-2"/>
          <w:sz w:val="24"/>
        </w:rPr>
        <w:t> </w:t>
      </w:r>
      <w:r>
        <w:rPr>
          <w:sz w:val="24"/>
        </w:rPr>
        <w:t>loss</w:t>
      </w:r>
      <w:r>
        <w:rPr>
          <w:spacing w:val="-2"/>
          <w:sz w:val="24"/>
        </w:rPr>
        <w:t> </w:t>
      </w:r>
      <w:r>
        <w:rPr>
          <w:sz w:val="24"/>
        </w:rPr>
        <w:t>of</w:t>
      </w:r>
      <w:r>
        <w:rPr>
          <w:spacing w:val="-2"/>
          <w:sz w:val="24"/>
        </w:rPr>
        <w:t> </w:t>
      </w:r>
      <w:r>
        <w:rPr>
          <w:sz w:val="24"/>
        </w:rPr>
        <w:t>mobility</w:t>
      </w:r>
      <w:r>
        <w:rPr>
          <w:spacing w:val="-1"/>
          <w:sz w:val="24"/>
        </w:rPr>
        <w:t> </w:t>
      </w:r>
      <w:r>
        <w:rPr>
          <w:sz w:val="24"/>
        </w:rPr>
        <w:t>and</w:t>
      </w:r>
      <w:r>
        <w:rPr>
          <w:spacing w:val="-2"/>
          <w:sz w:val="24"/>
        </w:rPr>
        <w:t> </w:t>
      </w:r>
      <w:r>
        <w:rPr>
          <w:sz w:val="24"/>
        </w:rPr>
        <w:t>independence</w:t>
      </w:r>
    </w:p>
    <w:p>
      <w:pPr>
        <w:pStyle w:val="BodyText"/>
        <w:spacing w:before="25"/>
        <w:ind w:left="0"/>
        <w:rPr>
          <w:sz w:val="20"/>
        </w:rPr>
      </w:pPr>
      <w:r>
        <w:rPr/>
        <mc:AlternateContent>
          <mc:Choice Requires="wps">
            <w:drawing>
              <wp:anchor distT="0" distB="0" distL="0" distR="0" allowOverlap="1" layoutInCell="1" locked="0" behindDoc="1" simplePos="0" relativeHeight="487588352">
                <wp:simplePos x="0" y="0"/>
                <wp:positionH relativeFrom="page">
                  <wp:posOffset>914704</wp:posOffset>
                </wp:positionH>
                <wp:positionV relativeFrom="paragraph">
                  <wp:posOffset>177355</wp:posOffset>
                </wp:positionV>
                <wp:extent cx="5944870" cy="952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944870" cy="9525"/>
                        </a:xfrm>
                        <a:custGeom>
                          <a:avLst/>
                          <a:gdLst/>
                          <a:ahLst/>
                          <a:cxnLst/>
                          <a:rect l="l" t="t" r="r" b="b"/>
                          <a:pathLst>
                            <a:path w="5944870" h="9525">
                              <a:moveTo>
                                <a:pt x="5944489" y="0"/>
                              </a:moveTo>
                              <a:lnTo>
                                <a:pt x="0" y="0"/>
                              </a:lnTo>
                              <a:lnTo>
                                <a:pt x="0" y="9143"/>
                              </a:lnTo>
                              <a:lnTo>
                                <a:pt x="5944489" y="9143"/>
                              </a:lnTo>
                              <a:lnTo>
                                <a:pt x="59444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3.964962pt;width:468.07pt;height:.71997pt;mso-position-horizontal-relative:page;mso-position-vertical-relative:paragraph;z-index:-15728128;mso-wrap-distance-left:0;mso-wrap-distance-right:0" id="docshape3" filled="true" fillcolor="#000000" stroked="false">
                <v:fill type="solid"/>
                <w10:wrap type="topAndBottom"/>
              </v:rect>
            </w:pict>
          </mc:Fallback>
        </mc:AlternateContent>
      </w:r>
    </w:p>
    <w:p>
      <w:pPr>
        <w:spacing w:before="101"/>
        <w:ind w:left="100" w:right="0" w:firstLine="0"/>
        <w:jc w:val="left"/>
        <w:rPr>
          <w:sz w:val="20"/>
        </w:rPr>
      </w:pPr>
      <w:r>
        <w:rPr>
          <w:sz w:val="20"/>
        </w:rPr>
        <w:t>owner</w:t>
      </w:r>
      <w:r>
        <w:rPr>
          <w:spacing w:val="-2"/>
          <w:sz w:val="20"/>
        </w:rPr>
        <w:t> </w:t>
      </w:r>
      <w:r>
        <w:rPr>
          <w:sz w:val="20"/>
        </w:rPr>
        <w:t>is</w:t>
      </w:r>
      <w:r>
        <w:rPr>
          <w:spacing w:val="-4"/>
          <w:sz w:val="20"/>
        </w:rPr>
        <w:t> </w:t>
      </w:r>
      <w:r>
        <w:rPr>
          <w:sz w:val="20"/>
        </w:rPr>
        <w:t>expected</w:t>
      </w:r>
      <w:r>
        <w:rPr>
          <w:spacing w:val="-4"/>
          <w:sz w:val="20"/>
        </w:rPr>
        <w:t> </w:t>
      </w:r>
      <w:r>
        <w:rPr>
          <w:sz w:val="20"/>
        </w:rPr>
        <w:t>to</w:t>
      </w:r>
      <w:r>
        <w:rPr>
          <w:spacing w:val="-2"/>
          <w:sz w:val="20"/>
        </w:rPr>
        <w:t> </w:t>
      </w:r>
      <w:r>
        <w:rPr>
          <w:sz w:val="20"/>
        </w:rPr>
        <w:t>perform</w:t>
      </w:r>
      <w:r>
        <w:rPr>
          <w:spacing w:val="-7"/>
          <w:sz w:val="20"/>
        </w:rPr>
        <w:t> </w:t>
      </w:r>
      <w:r>
        <w:rPr>
          <w:sz w:val="20"/>
        </w:rPr>
        <w:t>such</w:t>
      </w:r>
      <w:r>
        <w:rPr>
          <w:spacing w:val="-2"/>
          <w:sz w:val="20"/>
        </w:rPr>
        <w:t> </w:t>
      </w:r>
      <w:r>
        <w:rPr>
          <w:sz w:val="20"/>
        </w:rPr>
        <w:t>routine maintenance</w:t>
      </w:r>
      <w:r>
        <w:rPr>
          <w:spacing w:val="-5"/>
          <w:sz w:val="20"/>
        </w:rPr>
        <w:t> </w:t>
      </w:r>
      <w:r>
        <w:rPr>
          <w:sz w:val="20"/>
        </w:rPr>
        <w:t>rather</w:t>
      </w:r>
      <w:r>
        <w:rPr>
          <w:spacing w:val="-2"/>
          <w:sz w:val="20"/>
        </w:rPr>
        <w:t> </w:t>
      </w:r>
      <w:r>
        <w:rPr>
          <w:sz w:val="20"/>
        </w:rPr>
        <w:t>than</w:t>
      </w:r>
      <w:r>
        <w:rPr>
          <w:spacing w:val="-2"/>
          <w:sz w:val="20"/>
        </w:rPr>
        <w:t> </w:t>
      </w:r>
      <w:r>
        <w:rPr>
          <w:sz w:val="20"/>
        </w:rPr>
        <w:t>a</w:t>
      </w:r>
      <w:r>
        <w:rPr>
          <w:spacing w:val="-5"/>
          <w:sz w:val="20"/>
        </w:rPr>
        <w:t> </w:t>
      </w:r>
      <w:r>
        <w:rPr>
          <w:sz w:val="20"/>
        </w:rPr>
        <w:t>retailer</w:t>
      </w:r>
      <w:r>
        <w:rPr>
          <w:spacing w:val="-2"/>
          <w:sz w:val="20"/>
        </w:rPr>
        <w:t> </w:t>
      </w:r>
      <w:r>
        <w:rPr>
          <w:sz w:val="20"/>
        </w:rPr>
        <w:t>or</w:t>
      </w:r>
      <w:r>
        <w:rPr>
          <w:spacing w:val="-3"/>
          <w:sz w:val="20"/>
        </w:rPr>
        <w:t> </w:t>
      </w:r>
      <w:r>
        <w:rPr>
          <w:sz w:val="20"/>
        </w:rPr>
        <w:t>some</w:t>
      </w:r>
      <w:r>
        <w:rPr>
          <w:spacing w:val="-5"/>
          <w:sz w:val="20"/>
        </w:rPr>
        <w:t> </w:t>
      </w:r>
      <w:r>
        <w:rPr>
          <w:sz w:val="20"/>
        </w:rPr>
        <w:t>other</w:t>
      </w:r>
      <w:r>
        <w:rPr>
          <w:spacing w:val="-4"/>
          <w:sz w:val="20"/>
        </w:rPr>
        <w:t> </w:t>
      </w:r>
      <w:r>
        <w:rPr>
          <w:sz w:val="20"/>
        </w:rPr>
        <w:t>person</w:t>
      </w:r>
      <w:r>
        <w:rPr>
          <w:spacing w:val="-2"/>
          <w:sz w:val="20"/>
        </w:rPr>
        <w:t> </w:t>
      </w:r>
      <w:r>
        <w:rPr>
          <w:sz w:val="20"/>
        </w:rPr>
        <w:t>who</w:t>
      </w:r>
      <w:r>
        <w:rPr>
          <w:spacing w:val="-2"/>
          <w:sz w:val="20"/>
        </w:rPr>
        <w:t> </w:t>
      </w:r>
      <w:r>
        <w:rPr>
          <w:sz w:val="20"/>
        </w:rPr>
        <w:t>charges</w:t>
      </w:r>
      <w:r>
        <w:rPr>
          <w:spacing w:val="-4"/>
          <w:sz w:val="20"/>
        </w:rPr>
        <w:t> </w:t>
      </w:r>
      <w:r>
        <w:rPr>
          <w:sz w:val="20"/>
        </w:rPr>
        <w:t>the </w:t>
      </w:r>
      <w:r>
        <w:rPr>
          <w:spacing w:val="-2"/>
          <w:sz w:val="20"/>
        </w:rPr>
        <w:t>beneficiary.”</w:t>
      </w:r>
    </w:p>
    <w:p>
      <w:pPr>
        <w:spacing w:after="0"/>
        <w:jc w:val="left"/>
        <w:rPr>
          <w:sz w:val="20"/>
        </w:rPr>
        <w:sectPr>
          <w:footerReference w:type="default" r:id="rId7"/>
          <w:pgSz w:w="12240" w:h="15840"/>
          <w:pgMar w:header="0" w:footer="1012" w:top="1360" w:bottom="1200" w:left="1340" w:right="1320"/>
          <w:pgNumType w:start="2"/>
        </w:sectPr>
      </w:pPr>
    </w:p>
    <w:p>
      <w:pPr>
        <w:pStyle w:val="BodyText"/>
        <w:spacing w:line="259" w:lineRule="auto" w:before="79"/>
        <w:ind w:left="820" w:right="169"/>
      </w:pPr>
      <w:r>
        <w:rPr/>
        <w:t>by</w:t>
      </w:r>
      <w:r>
        <w:rPr>
          <w:spacing w:val="-2"/>
        </w:rPr>
        <w:t> </w:t>
      </w:r>
      <w:r>
        <w:rPr/>
        <w:t>restricting</w:t>
      </w:r>
      <w:r>
        <w:rPr>
          <w:spacing w:val="-2"/>
        </w:rPr>
        <w:t> </w:t>
      </w:r>
      <w:r>
        <w:rPr/>
        <w:t>an</w:t>
      </w:r>
      <w:r>
        <w:rPr>
          <w:spacing w:val="-2"/>
        </w:rPr>
        <w:t> </w:t>
      </w:r>
      <w:r>
        <w:rPr/>
        <w:t>individual</w:t>
      </w:r>
      <w:r>
        <w:rPr>
          <w:spacing w:val="-2"/>
        </w:rPr>
        <w:t> </w:t>
      </w:r>
      <w:r>
        <w:rPr/>
        <w:t>to</w:t>
      </w:r>
      <w:r>
        <w:rPr>
          <w:spacing w:val="-2"/>
        </w:rPr>
        <w:t> </w:t>
      </w:r>
      <w:r>
        <w:rPr/>
        <w:t>a</w:t>
      </w:r>
      <w:r>
        <w:rPr>
          <w:spacing w:val="-2"/>
        </w:rPr>
        <w:t> </w:t>
      </w:r>
      <w:r>
        <w:rPr/>
        <w:t>bed</w:t>
      </w:r>
      <w:r>
        <w:rPr>
          <w:spacing w:val="-2"/>
        </w:rPr>
        <w:t> </w:t>
      </w:r>
      <w:r>
        <w:rPr/>
        <w:t>or</w:t>
      </w:r>
      <w:r>
        <w:rPr>
          <w:spacing w:val="-2"/>
        </w:rPr>
        <w:t> </w:t>
      </w:r>
      <w:r>
        <w:rPr/>
        <w:t>his</w:t>
      </w:r>
      <w:r>
        <w:rPr>
          <w:spacing w:val="-2"/>
        </w:rPr>
        <w:t> </w:t>
      </w:r>
      <w:r>
        <w:rPr/>
        <w:t>or</w:t>
      </w:r>
      <w:r>
        <w:rPr>
          <w:spacing w:val="-2"/>
        </w:rPr>
        <w:t> </w:t>
      </w:r>
      <w:r>
        <w:rPr/>
        <w:t>her</w:t>
      </w:r>
      <w:r>
        <w:rPr>
          <w:spacing w:val="-3"/>
        </w:rPr>
        <w:t> </w:t>
      </w:r>
      <w:r>
        <w:rPr/>
        <w:t>home;</w:t>
      </w:r>
      <w:r>
        <w:rPr>
          <w:spacing w:val="-2"/>
        </w:rPr>
        <w:t> </w:t>
      </w:r>
      <w:r>
        <w:rPr/>
        <w:t>lost</w:t>
      </w:r>
      <w:r>
        <w:rPr>
          <w:spacing w:val="-2"/>
        </w:rPr>
        <w:t> </w:t>
      </w:r>
      <w:r>
        <w:rPr/>
        <w:t>opportunities</w:t>
      </w:r>
      <w:r>
        <w:rPr>
          <w:spacing w:val="-2"/>
        </w:rPr>
        <w:t> </w:t>
      </w:r>
      <w:r>
        <w:rPr/>
        <w:t>or</w:t>
      </w:r>
      <w:r>
        <w:rPr>
          <w:spacing w:val="-2"/>
        </w:rPr>
        <w:t> </w:t>
      </w:r>
      <w:r>
        <w:rPr/>
        <w:t>wages; and can exacerbate or cause additional clinical issues (e.g., respiratory issues, pressure injuries</w:t>
      </w:r>
      <w:r>
        <w:rPr>
          <w:spacing w:val="-5"/>
        </w:rPr>
        <w:t> </w:t>
      </w:r>
      <w:r>
        <w:rPr/>
        <w:t>or</w:t>
      </w:r>
      <w:r>
        <w:rPr>
          <w:spacing w:val="-6"/>
        </w:rPr>
        <w:t> </w:t>
      </w:r>
      <w:r>
        <w:rPr/>
        <w:t>infections),</w:t>
      </w:r>
      <w:r>
        <w:rPr>
          <w:spacing w:val="-5"/>
        </w:rPr>
        <w:t> </w:t>
      </w:r>
      <w:r>
        <w:rPr/>
        <w:t>resulting</w:t>
      </w:r>
      <w:r>
        <w:rPr>
          <w:spacing w:val="-5"/>
        </w:rPr>
        <w:t> </w:t>
      </w:r>
      <w:r>
        <w:rPr/>
        <w:t>in</w:t>
      </w:r>
      <w:r>
        <w:rPr>
          <w:spacing w:val="-5"/>
        </w:rPr>
        <w:t> </w:t>
      </w:r>
      <w:r>
        <w:rPr/>
        <w:t>unnecessary</w:t>
      </w:r>
      <w:r>
        <w:rPr>
          <w:spacing w:val="-5"/>
        </w:rPr>
        <w:t> </w:t>
      </w:r>
      <w:r>
        <w:rPr/>
        <w:t>and</w:t>
      </w:r>
      <w:r>
        <w:rPr>
          <w:spacing w:val="-5"/>
        </w:rPr>
        <w:t> </w:t>
      </w:r>
      <w:r>
        <w:rPr/>
        <w:t>expensive</w:t>
      </w:r>
      <w:r>
        <w:rPr>
          <w:spacing w:val="-5"/>
        </w:rPr>
        <w:t> </w:t>
      </w:r>
      <w:r>
        <w:rPr/>
        <w:t>hospitalizations.</w:t>
      </w:r>
      <w:r>
        <w:rPr>
          <w:spacing w:val="40"/>
        </w:rPr>
        <w:t> </w:t>
      </w:r>
      <w:r>
        <w:rPr/>
        <w:t>Further, temporary replacement mobility devices may also lack the customized assistive technology that maximizes their ability to speak or breathe and may have inadequate functions that limit mobility.</w:t>
      </w:r>
    </w:p>
    <w:p>
      <w:pPr>
        <w:pStyle w:val="ListParagraph"/>
        <w:numPr>
          <w:ilvl w:val="0"/>
          <w:numId w:val="1"/>
        </w:numPr>
        <w:tabs>
          <w:tab w:pos="820" w:val="left" w:leader="none"/>
        </w:tabs>
        <w:spacing w:line="256" w:lineRule="auto" w:before="2" w:after="0"/>
        <w:ind w:left="820" w:right="431" w:hanging="360"/>
        <w:jc w:val="left"/>
        <w:rPr>
          <w:sz w:val="24"/>
        </w:rPr>
      </w:pPr>
      <w:r>
        <w:rPr>
          <w:sz w:val="24"/>
        </w:rPr>
        <w:t>Payers should cover and pay for “back-up” complex manual wheelchairs for each beneficiary to eliminate the need for temporary replacement wheelchairs.</w:t>
      </w:r>
      <w:r>
        <w:rPr>
          <w:spacing w:val="40"/>
          <w:sz w:val="24"/>
        </w:rPr>
        <w:t> </w:t>
      </w:r>
      <w:r>
        <w:rPr>
          <w:sz w:val="24"/>
        </w:rPr>
        <w:t>As an alternative,</w:t>
      </w:r>
      <w:r>
        <w:rPr>
          <w:spacing w:val="-5"/>
          <w:sz w:val="24"/>
        </w:rPr>
        <w:t> </w:t>
      </w:r>
      <w:r>
        <w:rPr>
          <w:sz w:val="24"/>
        </w:rPr>
        <w:t>payers</w:t>
      </w:r>
      <w:r>
        <w:rPr>
          <w:spacing w:val="-5"/>
          <w:sz w:val="24"/>
        </w:rPr>
        <w:t> </w:t>
      </w:r>
      <w:r>
        <w:rPr>
          <w:sz w:val="24"/>
        </w:rPr>
        <w:t>should</w:t>
      </w:r>
      <w:r>
        <w:rPr>
          <w:spacing w:val="-5"/>
          <w:sz w:val="24"/>
        </w:rPr>
        <w:t> </w:t>
      </w:r>
      <w:r>
        <w:rPr>
          <w:sz w:val="24"/>
        </w:rPr>
        <w:t>cover</w:t>
      </w:r>
      <w:r>
        <w:rPr>
          <w:spacing w:val="-5"/>
          <w:sz w:val="24"/>
        </w:rPr>
        <w:t> </w:t>
      </w:r>
      <w:r>
        <w:rPr>
          <w:sz w:val="24"/>
        </w:rPr>
        <w:t>and</w:t>
      </w:r>
      <w:r>
        <w:rPr>
          <w:spacing w:val="-5"/>
          <w:sz w:val="24"/>
        </w:rPr>
        <w:t> </w:t>
      </w:r>
      <w:r>
        <w:rPr>
          <w:sz w:val="24"/>
        </w:rPr>
        <w:t>pay</w:t>
      </w:r>
      <w:r>
        <w:rPr>
          <w:spacing w:val="-5"/>
          <w:sz w:val="24"/>
        </w:rPr>
        <w:t> </w:t>
      </w:r>
      <w:r>
        <w:rPr>
          <w:sz w:val="24"/>
        </w:rPr>
        <w:t>for</w:t>
      </w:r>
      <w:r>
        <w:rPr>
          <w:spacing w:val="-5"/>
          <w:sz w:val="24"/>
        </w:rPr>
        <w:t> </w:t>
      </w:r>
      <w:r>
        <w:rPr>
          <w:sz w:val="24"/>
        </w:rPr>
        <w:t>maintenance</w:t>
      </w:r>
      <w:r>
        <w:rPr>
          <w:spacing w:val="-4"/>
          <w:sz w:val="24"/>
        </w:rPr>
        <w:t> </w:t>
      </w:r>
      <w:r>
        <w:rPr>
          <w:sz w:val="24"/>
        </w:rPr>
        <w:t>and</w:t>
      </w:r>
      <w:r>
        <w:rPr>
          <w:spacing w:val="-5"/>
          <w:sz w:val="24"/>
        </w:rPr>
        <w:t> </w:t>
      </w:r>
      <w:r>
        <w:rPr>
          <w:sz w:val="24"/>
        </w:rPr>
        <w:t>repair</w:t>
      </w:r>
      <w:r>
        <w:rPr>
          <w:spacing w:val="-5"/>
          <w:sz w:val="24"/>
        </w:rPr>
        <w:t> </w:t>
      </w:r>
      <w:r>
        <w:rPr>
          <w:sz w:val="24"/>
        </w:rPr>
        <w:t>of</w:t>
      </w:r>
      <w:r>
        <w:rPr>
          <w:spacing w:val="-4"/>
          <w:sz w:val="24"/>
        </w:rPr>
        <w:t> </w:t>
      </w:r>
      <w:r>
        <w:rPr>
          <w:sz w:val="24"/>
        </w:rPr>
        <w:t>a</w:t>
      </w:r>
      <w:r>
        <w:rPr>
          <w:spacing w:val="-6"/>
          <w:sz w:val="24"/>
        </w:rPr>
        <w:t> </w:t>
      </w:r>
      <w:r>
        <w:rPr>
          <w:sz w:val="24"/>
        </w:rPr>
        <w:t>previous</w:t>
      </w:r>
      <w:r>
        <w:rPr>
          <w:spacing w:val="-5"/>
          <w:sz w:val="24"/>
        </w:rPr>
        <w:t> </w:t>
      </w:r>
      <w:r>
        <w:rPr>
          <w:sz w:val="24"/>
        </w:rPr>
        <w:t>CRT wheelchair whose reasonable useful lifetime has expired to serve as an emergency replacement device.</w:t>
      </w:r>
    </w:p>
    <w:p>
      <w:pPr>
        <w:pStyle w:val="Heading1"/>
        <w:spacing w:before="168"/>
        <w:ind w:right="143"/>
      </w:pPr>
      <w:r>
        <w:rPr/>
        <w:t>Solution</w:t>
      </w:r>
      <w:r>
        <w:rPr>
          <w:spacing w:val="-4"/>
        </w:rPr>
        <w:t> </w:t>
      </w:r>
      <w:r>
        <w:rPr/>
        <w:t>#4</w:t>
      </w:r>
      <w:r>
        <w:rPr>
          <w:spacing w:val="-4"/>
        </w:rPr>
        <w:t> </w:t>
      </w:r>
      <w:r>
        <w:rPr/>
        <w:t>–</w:t>
      </w:r>
      <w:r>
        <w:rPr>
          <w:spacing w:val="-4"/>
        </w:rPr>
        <w:t> </w:t>
      </w:r>
      <w:r>
        <w:rPr/>
        <w:t>Reduce</w:t>
      </w:r>
      <w:r>
        <w:rPr>
          <w:spacing w:val="-5"/>
        </w:rPr>
        <w:t> </w:t>
      </w:r>
      <w:r>
        <w:rPr/>
        <w:t>delays</w:t>
      </w:r>
      <w:r>
        <w:rPr>
          <w:spacing w:val="-4"/>
        </w:rPr>
        <w:t> </w:t>
      </w:r>
      <w:r>
        <w:rPr/>
        <w:t>caused</w:t>
      </w:r>
      <w:r>
        <w:rPr>
          <w:spacing w:val="-4"/>
        </w:rPr>
        <w:t> </w:t>
      </w:r>
      <w:r>
        <w:rPr/>
        <w:t>by</w:t>
      </w:r>
      <w:r>
        <w:rPr>
          <w:spacing w:val="-4"/>
        </w:rPr>
        <w:t> </w:t>
      </w:r>
      <w:r>
        <w:rPr/>
        <w:t>prior</w:t>
      </w:r>
      <w:r>
        <w:rPr>
          <w:spacing w:val="-9"/>
        </w:rPr>
        <w:t> </w:t>
      </w:r>
      <w:r>
        <w:rPr/>
        <w:t>authorization</w:t>
      </w:r>
      <w:r>
        <w:rPr>
          <w:spacing w:val="-3"/>
        </w:rPr>
        <w:t> </w:t>
      </w:r>
      <w:r>
        <w:rPr/>
        <w:t>and</w:t>
      </w:r>
      <w:r>
        <w:rPr>
          <w:spacing w:val="-4"/>
        </w:rPr>
        <w:t> </w:t>
      </w:r>
      <w:r>
        <w:rPr/>
        <w:t>additional</w:t>
      </w:r>
      <w:r>
        <w:rPr>
          <w:spacing w:val="-4"/>
        </w:rPr>
        <w:t> </w:t>
      </w:r>
      <w:r>
        <w:rPr/>
        <w:t>insurance documentation requirements.</w:t>
      </w:r>
    </w:p>
    <w:p>
      <w:pPr>
        <w:pStyle w:val="ListParagraph"/>
        <w:numPr>
          <w:ilvl w:val="0"/>
          <w:numId w:val="1"/>
        </w:numPr>
        <w:tabs>
          <w:tab w:pos="820" w:val="left" w:leader="none"/>
        </w:tabs>
        <w:spacing w:line="240" w:lineRule="auto" w:before="161" w:after="0"/>
        <w:ind w:left="820" w:right="136" w:hanging="360"/>
        <w:jc w:val="left"/>
        <w:rPr>
          <w:sz w:val="24"/>
        </w:rPr>
      </w:pPr>
      <w:r>
        <w:rPr>
          <w:sz w:val="24"/>
        </w:rPr>
        <w:t>Medicare and other payers should allow coverage and payment for repairs to patient- owned manual and power CRT wheelchairs without requiring prior authorization, extensive medical documentation, or a physician’s prescription for the necessary repairs. Because the medical necessity of the wheelchair has already been established with significant medical documentation, prior authorization and other bureaucratic hurdles cause unnecessary and harmful delays as providers waste valuable resources submitting duplicative proof of continued medical need to keep that same wheelchair working properly.</w:t>
      </w:r>
      <w:r>
        <w:rPr>
          <w:spacing w:val="40"/>
          <w:sz w:val="24"/>
        </w:rPr>
        <w:t> </w:t>
      </w:r>
      <w:r>
        <w:rPr>
          <w:sz w:val="24"/>
        </w:rPr>
        <w:t>Requiring</w:t>
      </w:r>
      <w:r>
        <w:rPr>
          <w:spacing w:val="-5"/>
          <w:sz w:val="24"/>
        </w:rPr>
        <w:t> </w:t>
      </w:r>
      <w:r>
        <w:rPr>
          <w:sz w:val="24"/>
        </w:rPr>
        <w:t>prior</w:t>
      </w:r>
      <w:r>
        <w:rPr>
          <w:spacing w:val="-6"/>
          <w:sz w:val="24"/>
        </w:rPr>
        <w:t> </w:t>
      </w:r>
      <w:r>
        <w:rPr>
          <w:sz w:val="24"/>
        </w:rPr>
        <w:t>authorization</w:t>
      </w:r>
      <w:r>
        <w:rPr>
          <w:spacing w:val="-5"/>
          <w:sz w:val="24"/>
        </w:rPr>
        <w:t> </w:t>
      </w:r>
      <w:r>
        <w:rPr>
          <w:sz w:val="24"/>
        </w:rPr>
        <w:t>before</w:t>
      </w:r>
      <w:r>
        <w:rPr>
          <w:spacing w:val="-4"/>
          <w:sz w:val="24"/>
        </w:rPr>
        <w:t> </w:t>
      </w:r>
      <w:r>
        <w:rPr>
          <w:sz w:val="24"/>
        </w:rPr>
        <w:t>wheelchair</w:t>
      </w:r>
      <w:r>
        <w:rPr>
          <w:spacing w:val="-4"/>
          <w:sz w:val="24"/>
        </w:rPr>
        <w:t> </w:t>
      </w:r>
      <w:r>
        <w:rPr>
          <w:sz w:val="24"/>
        </w:rPr>
        <w:t>repairs</w:t>
      </w:r>
      <w:r>
        <w:rPr>
          <w:spacing w:val="-4"/>
          <w:sz w:val="24"/>
        </w:rPr>
        <w:t> </w:t>
      </w:r>
      <w:r>
        <w:rPr>
          <w:sz w:val="24"/>
        </w:rPr>
        <w:t>can</w:t>
      </w:r>
      <w:r>
        <w:rPr>
          <w:spacing w:val="-5"/>
          <w:sz w:val="24"/>
        </w:rPr>
        <w:t> </w:t>
      </w:r>
      <w:r>
        <w:rPr>
          <w:sz w:val="24"/>
        </w:rPr>
        <w:t>be</w:t>
      </w:r>
      <w:r>
        <w:rPr>
          <w:spacing w:val="-6"/>
          <w:sz w:val="24"/>
        </w:rPr>
        <w:t> </w:t>
      </w:r>
      <w:r>
        <w:rPr>
          <w:sz w:val="24"/>
        </w:rPr>
        <w:t>made</w:t>
      </w:r>
      <w:r>
        <w:rPr>
          <w:spacing w:val="-6"/>
          <w:sz w:val="24"/>
        </w:rPr>
        <w:t> </w:t>
      </w:r>
      <w:r>
        <w:rPr>
          <w:sz w:val="24"/>
        </w:rPr>
        <w:t>is</w:t>
      </w:r>
      <w:r>
        <w:rPr>
          <w:spacing w:val="-5"/>
          <w:sz w:val="24"/>
        </w:rPr>
        <w:t> </w:t>
      </w:r>
      <w:r>
        <w:rPr>
          <w:sz w:val="24"/>
        </w:rPr>
        <w:t>not</w:t>
      </w:r>
      <w:r>
        <w:rPr>
          <w:spacing w:val="-5"/>
          <w:sz w:val="24"/>
        </w:rPr>
        <w:t> </w:t>
      </w:r>
      <w:r>
        <w:rPr>
          <w:sz w:val="24"/>
        </w:rPr>
        <w:t>only a disincentive for suppliers to agree to make required repairs and creates additional unnecessary costs, but delays that stem from prior authorization can also be a danger to individuals who use wheelchairs.</w:t>
      </w:r>
    </w:p>
    <w:p>
      <w:pPr>
        <w:pStyle w:val="Heading1"/>
        <w:spacing w:before="158"/>
        <w:ind w:right="143"/>
      </w:pPr>
      <w:r>
        <w:rPr/>
        <w:t>Solution</w:t>
      </w:r>
      <w:r>
        <w:rPr>
          <w:spacing w:val="-5"/>
        </w:rPr>
        <w:t> </w:t>
      </w:r>
      <w:r>
        <w:rPr/>
        <w:t>#5</w:t>
      </w:r>
      <w:r>
        <w:rPr>
          <w:spacing w:val="-3"/>
        </w:rPr>
        <w:t> </w:t>
      </w:r>
      <w:r>
        <w:rPr/>
        <w:t>–</w:t>
      </w:r>
      <w:r>
        <w:rPr>
          <w:spacing w:val="-15"/>
        </w:rPr>
        <w:t> </w:t>
      </w:r>
      <w:r>
        <w:rPr/>
        <w:t>Alleviate</w:t>
      </w:r>
      <w:r>
        <w:rPr>
          <w:spacing w:val="-4"/>
        </w:rPr>
        <w:t> </w:t>
      </w:r>
      <w:r>
        <w:rPr/>
        <w:t>financial</w:t>
      </w:r>
      <w:r>
        <w:rPr>
          <w:spacing w:val="-3"/>
        </w:rPr>
        <w:t> </w:t>
      </w:r>
      <w:r>
        <w:rPr/>
        <w:t>burdens</w:t>
      </w:r>
      <w:r>
        <w:rPr>
          <w:spacing w:val="-3"/>
        </w:rPr>
        <w:t> </w:t>
      </w:r>
      <w:r>
        <w:rPr/>
        <w:t>on</w:t>
      </w:r>
      <w:r>
        <w:rPr>
          <w:spacing w:val="-3"/>
        </w:rPr>
        <w:t> </w:t>
      </w:r>
      <w:r>
        <w:rPr/>
        <w:t>consumers</w:t>
      </w:r>
      <w:r>
        <w:rPr>
          <w:spacing w:val="-3"/>
        </w:rPr>
        <w:t> </w:t>
      </w:r>
      <w:r>
        <w:rPr/>
        <w:t>and</w:t>
      </w:r>
      <w:r>
        <w:rPr>
          <w:spacing w:val="-2"/>
        </w:rPr>
        <w:t> </w:t>
      </w:r>
      <w:r>
        <w:rPr/>
        <w:t>systemic</w:t>
      </w:r>
      <w:r>
        <w:rPr>
          <w:spacing w:val="-3"/>
        </w:rPr>
        <w:t> </w:t>
      </w:r>
      <w:r>
        <w:rPr/>
        <w:t>challenges</w:t>
      </w:r>
      <w:r>
        <w:rPr>
          <w:spacing w:val="-3"/>
        </w:rPr>
        <w:t> </w:t>
      </w:r>
      <w:r>
        <w:rPr/>
        <w:t>in supplier </w:t>
      </w:r>
      <w:r>
        <w:rPr>
          <w:spacing w:val="-2"/>
        </w:rPr>
        <w:t>reimbursement</w:t>
      </w:r>
    </w:p>
    <w:p>
      <w:pPr>
        <w:pStyle w:val="ListParagraph"/>
        <w:numPr>
          <w:ilvl w:val="0"/>
          <w:numId w:val="1"/>
        </w:numPr>
        <w:tabs>
          <w:tab w:pos="820" w:val="left" w:leader="none"/>
        </w:tabs>
        <w:spacing w:line="240" w:lineRule="auto" w:before="160" w:after="0"/>
        <w:ind w:left="820" w:right="150" w:hanging="360"/>
        <w:jc w:val="left"/>
        <w:rPr>
          <w:sz w:val="24"/>
        </w:rPr>
      </w:pPr>
      <w:r>
        <w:rPr>
          <w:sz w:val="24"/>
        </w:rPr>
        <w:t>Without adequate coverage and reimbursement from Medicare and other payers for wheelchair repairs and maintenance, the burden of cost often falls on the individual who relies on these technologies for mobility. It is difficult—if not impossible—for many individuals to pay out-of-pocket for all necessary repairs, resulting in many individuals foregoing the repairs altogether or attempting to patchwork repairs themselves.</w:t>
      </w:r>
      <w:r>
        <w:rPr>
          <w:spacing w:val="40"/>
          <w:sz w:val="24"/>
        </w:rPr>
        <w:t> </w:t>
      </w:r>
      <w:r>
        <w:rPr>
          <w:sz w:val="24"/>
        </w:rPr>
        <w:t>This creates</w:t>
      </w:r>
      <w:r>
        <w:rPr>
          <w:spacing w:val="-4"/>
          <w:sz w:val="24"/>
        </w:rPr>
        <w:t> </w:t>
      </w:r>
      <w:r>
        <w:rPr>
          <w:sz w:val="24"/>
        </w:rPr>
        <w:t>both</w:t>
      </w:r>
      <w:r>
        <w:rPr>
          <w:spacing w:val="-4"/>
          <w:sz w:val="24"/>
        </w:rPr>
        <w:t> </w:t>
      </w:r>
      <w:r>
        <w:rPr>
          <w:sz w:val="24"/>
        </w:rPr>
        <w:t>clinical</w:t>
      </w:r>
      <w:r>
        <w:rPr>
          <w:spacing w:val="-4"/>
          <w:sz w:val="24"/>
        </w:rPr>
        <w:t> </w:t>
      </w:r>
      <w:r>
        <w:rPr>
          <w:sz w:val="24"/>
        </w:rPr>
        <w:t>and</w:t>
      </w:r>
      <w:r>
        <w:rPr>
          <w:spacing w:val="-3"/>
          <w:sz w:val="24"/>
        </w:rPr>
        <w:t> </w:t>
      </w:r>
      <w:r>
        <w:rPr>
          <w:sz w:val="24"/>
        </w:rPr>
        <w:t>mechanical</w:t>
      </w:r>
      <w:r>
        <w:rPr>
          <w:spacing w:val="-4"/>
          <w:sz w:val="24"/>
        </w:rPr>
        <w:t> </w:t>
      </w:r>
      <w:r>
        <w:rPr>
          <w:sz w:val="24"/>
        </w:rPr>
        <w:t>risks</w:t>
      </w:r>
      <w:r>
        <w:rPr>
          <w:spacing w:val="-4"/>
          <w:sz w:val="24"/>
        </w:rPr>
        <w:t> </w:t>
      </w:r>
      <w:r>
        <w:rPr>
          <w:sz w:val="24"/>
        </w:rPr>
        <w:t>that</w:t>
      </w:r>
      <w:r>
        <w:rPr>
          <w:spacing w:val="-1"/>
          <w:sz w:val="24"/>
        </w:rPr>
        <w:t> </w:t>
      </w:r>
      <w:r>
        <w:rPr>
          <w:sz w:val="24"/>
        </w:rPr>
        <w:t>may</w:t>
      </w:r>
      <w:r>
        <w:rPr>
          <w:spacing w:val="-5"/>
          <w:sz w:val="24"/>
        </w:rPr>
        <w:t> </w:t>
      </w:r>
      <w:r>
        <w:rPr>
          <w:sz w:val="24"/>
        </w:rPr>
        <w:t>increase</w:t>
      </w:r>
      <w:r>
        <w:rPr>
          <w:spacing w:val="-5"/>
          <w:sz w:val="24"/>
        </w:rPr>
        <w:t> </w:t>
      </w:r>
      <w:r>
        <w:rPr>
          <w:sz w:val="24"/>
        </w:rPr>
        <w:t>the</w:t>
      </w:r>
      <w:r>
        <w:rPr>
          <w:spacing w:val="-4"/>
          <w:sz w:val="24"/>
        </w:rPr>
        <w:t> </w:t>
      </w:r>
      <w:r>
        <w:rPr>
          <w:sz w:val="24"/>
        </w:rPr>
        <w:t>likelihood</w:t>
      </w:r>
      <w:r>
        <w:rPr>
          <w:spacing w:val="-4"/>
          <w:sz w:val="24"/>
        </w:rPr>
        <w:t> </w:t>
      </w:r>
      <w:r>
        <w:rPr>
          <w:sz w:val="24"/>
        </w:rPr>
        <w:t>of</w:t>
      </w:r>
      <w:r>
        <w:rPr>
          <w:spacing w:val="-4"/>
          <w:sz w:val="24"/>
        </w:rPr>
        <w:t> </w:t>
      </w:r>
      <w:r>
        <w:rPr>
          <w:sz w:val="24"/>
        </w:rPr>
        <w:t>unnecessary injury and lessen functionality.</w:t>
      </w:r>
      <w:r>
        <w:rPr>
          <w:spacing w:val="40"/>
          <w:sz w:val="24"/>
        </w:rPr>
        <w:t> </w:t>
      </w:r>
      <w:r>
        <w:rPr>
          <w:sz w:val="24"/>
        </w:rPr>
        <w:t>To improve access to repairs and routine maintenance,</w:t>
      </w:r>
    </w:p>
    <w:p>
      <w:pPr>
        <w:pStyle w:val="BodyText"/>
        <w:ind w:left="820" w:right="143"/>
      </w:pPr>
      <w:r>
        <w:rPr/>
        <w:t>Medicare</w:t>
      </w:r>
      <w:r>
        <w:rPr>
          <w:spacing w:val="-7"/>
        </w:rPr>
        <w:t> </w:t>
      </w:r>
      <w:r>
        <w:rPr/>
        <w:t>and</w:t>
      </w:r>
      <w:r>
        <w:rPr>
          <w:spacing w:val="-4"/>
        </w:rPr>
        <w:t> </w:t>
      </w:r>
      <w:r>
        <w:rPr/>
        <w:t>private</w:t>
      </w:r>
      <w:r>
        <w:rPr>
          <w:spacing w:val="-5"/>
        </w:rPr>
        <w:t> </w:t>
      </w:r>
      <w:r>
        <w:rPr/>
        <w:t>payers’</w:t>
      </w:r>
      <w:r>
        <w:rPr>
          <w:spacing w:val="-17"/>
        </w:rPr>
        <w:t> </w:t>
      </w:r>
      <w:r>
        <w:rPr/>
        <w:t>coverage</w:t>
      </w:r>
      <w:r>
        <w:rPr>
          <w:spacing w:val="-3"/>
        </w:rPr>
        <w:t> </w:t>
      </w:r>
      <w:r>
        <w:rPr/>
        <w:t>and</w:t>
      </w:r>
      <w:r>
        <w:rPr>
          <w:spacing w:val="-4"/>
        </w:rPr>
        <w:t> </w:t>
      </w:r>
      <w:r>
        <w:rPr/>
        <w:t>payment</w:t>
      </w:r>
      <w:r>
        <w:rPr>
          <w:spacing w:val="-4"/>
        </w:rPr>
        <w:t> </w:t>
      </w:r>
      <w:r>
        <w:rPr/>
        <w:t>policies</w:t>
      </w:r>
      <w:r>
        <w:rPr>
          <w:spacing w:val="-4"/>
        </w:rPr>
        <w:t> </w:t>
      </w:r>
      <w:r>
        <w:rPr/>
        <w:t>must</w:t>
      </w:r>
      <w:r>
        <w:rPr>
          <w:spacing w:val="-4"/>
        </w:rPr>
        <w:t> </w:t>
      </w:r>
      <w:r>
        <w:rPr/>
        <w:t>be</w:t>
      </w:r>
      <w:r>
        <w:rPr>
          <w:spacing w:val="-4"/>
        </w:rPr>
        <w:t> </w:t>
      </w:r>
      <w:r>
        <w:rPr/>
        <w:t>improved</w:t>
      </w:r>
      <w:r>
        <w:rPr>
          <w:spacing w:val="-4"/>
        </w:rPr>
        <w:t> </w:t>
      </w:r>
      <w:r>
        <w:rPr/>
        <w:t>in</w:t>
      </w:r>
      <w:r>
        <w:rPr>
          <w:spacing w:val="-4"/>
        </w:rPr>
        <w:t> </w:t>
      </w:r>
      <w:r>
        <w:rPr/>
        <w:t>the following ways:</w:t>
      </w:r>
    </w:p>
    <w:p>
      <w:pPr>
        <w:pStyle w:val="ListParagraph"/>
        <w:numPr>
          <w:ilvl w:val="0"/>
          <w:numId w:val="2"/>
        </w:numPr>
        <w:tabs>
          <w:tab w:pos="1879" w:val="left" w:leader="none"/>
        </w:tabs>
        <w:spacing w:line="240" w:lineRule="auto" w:before="161" w:after="0"/>
        <w:ind w:left="1540" w:right="221" w:firstLine="0"/>
        <w:jc w:val="left"/>
        <w:rPr>
          <w:sz w:val="24"/>
        </w:rPr>
      </w:pPr>
      <w:r>
        <w:rPr>
          <w:sz w:val="24"/>
        </w:rPr>
        <w:t>Include</w:t>
      </w:r>
      <w:r>
        <w:rPr>
          <w:spacing w:val="-2"/>
          <w:sz w:val="24"/>
        </w:rPr>
        <w:t> </w:t>
      </w:r>
      <w:r>
        <w:rPr>
          <w:sz w:val="24"/>
        </w:rPr>
        <w:t>reimbursement</w:t>
      </w:r>
      <w:r>
        <w:rPr>
          <w:spacing w:val="-3"/>
          <w:sz w:val="24"/>
        </w:rPr>
        <w:t> </w:t>
      </w:r>
      <w:r>
        <w:rPr>
          <w:sz w:val="24"/>
        </w:rPr>
        <w:t>for</w:t>
      </w:r>
      <w:r>
        <w:rPr>
          <w:spacing w:val="-6"/>
          <w:sz w:val="24"/>
        </w:rPr>
        <w:t> </w:t>
      </w:r>
      <w:r>
        <w:rPr>
          <w:sz w:val="24"/>
        </w:rPr>
        <w:t>the</w:t>
      </w:r>
      <w:r>
        <w:rPr>
          <w:spacing w:val="-4"/>
          <w:sz w:val="24"/>
        </w:rPr>
        <w:t> </w:t>
      </w:r>
      <w:r>
        <w:rPr>
          <w:sz w:val="24"/>
        </w:rPr>
        <w:t>time</w:t>
      </w:r>
      <w:r>
        <w:rPr>
          <w:spacing w:val="-5"/>
          <w:sz w:val="24"/>
        </w:rPr>
        <w:t> </w:t>
      </w:r>
      <w:r>
        <w:rPr>
          <w:sz w:val="24"/>
        </w:rPr>
        <w:t>suppliers</w:t>
      </w:r>
      <w:r>
        <w:rPr>
          <w:spacing w:val="-3"/>
          <w:sz w:val="24"/>
        </w:rPr>
        <w:t> </w:t>
      </w:r>
      <w:r>
        <w:rPr>
          <w:sz w:val="24"/>
        </w:rPr>
        <w:t>must</w:t>
      </w:r>
      <w:r>
        <w:rPr>
          <w:spacing w:val="-3"/>
          <w:sz w:val="24"/>
        </w:rPr>
        <w:t> </w:t>
      </w:r>
      <w:r>
        <w:rPr>
          <w:sz w:val="24"/>
        </w:rPr>
        <w:t>travel</w:t>
      </w:r>
      <w:r>
        <w:rPr>
          <w:spacing w:val="-4"/>
          <w:sz w:val="24"/>
        </w:rPr>
        <w:t> </w:t>
      </w:r>
      <w:r>
        <w:rPr>
          <w:sz w:val="24"/>
        </w:rPr>
        <w:t>to</w:t>
      </w:r>
      <w:r>
        <w:rPr>
          <w:spacing w:val="-4"/>
          <w:sz w:val="24"/>
        </w:rPr>
        <w:t> </w:t>
      </w:r>
      <w:r>
        <w:rPr>
          <w:sz w:val="24"/>
        </w:rPr>
        <w:t>access</w:t>
      </w:r>
      <w:r>
        <w:rPr>
          <w:spacing w:val="-4"/>
          <w:sz w:val="24"/>
        </w:rPr>
        <w:t> </w:t>
      </w:r>
      <w:r>
        <w:rPr>
          <w:sz w:val="24"/>
        </w:rPr>
        <w:t>a</w:t>
      </w:r>
      <w:r>
        <w:rPr>
          <w:spacing w:val="-4"/>
          <w:sz w:val="24"/>
        </w:rPr>
        <w:t> </w:t>
      </w:r>
      <w:r>
        <w:rPr>
          <w:sz w:val="24"/>
        </w:rPr>
        <w:t>device</w:t>
      </w:r>
      <w:r>
        <w:rPr>
          <w:spacing w:val="-6"/>
          <w:sz w:val="24"/>
        </w:rPr>
        <w:t> </w:t>
      </w:r>
      <w:r>
        <w:rPr>
          <w:sz w:val="24"/>
        </w:rPr>
        <w:t>in a patient’s home, evaluate and diagnose needed repairs, and provide specialized labor to ensure quality service; and</w:t>
      </w:r>
    </w:p>
    <w:p>
      <w:pPr>
        <w:pStyle w:val="ListParagraph"/>
        <w:numPr>
          <w:ilvl w:val="0"/>
          <w:numId w:val="2"/>
        </w:numPr>
        <w:tabs>
          <w:tab w:pos="1879" w:val="left" w:leader="none"/>
        </w:tabs>
        <w:spacing w:line="240" w:lineRule="auto" w:before="159" w:after="0"/>
        <w:ind w:left="1540" w:right="401" w:firstLine="0"/>
        <w:jc w:val="left"/>
        <w:rPr>
          <w:sz w:val="24"/>
        </w:rPr>
      </w:pPr>
      <w:r>
        <w:rPr>
          <w:sz w:val="24"/>
        </w:rPr>
        <w:t>Include coverage and reimbursement of temporary replacement equipment while</w:t>
      </w:r>
      <w:r>
        <w:rPr>
          <w:spacing w:val="-9"/>
          <w:sz w:val="24"/>
        </w:rPr>
        <w:t> </w:t>
      </w:r>
      <w:r>
        <w:rPr>
          <w:sz w:val="24"/>
        </w:rPr>
        <w:t>the</w:t>
      </w:r>
      <w:r>
        <w:rPr>
          <w:spacing w:val="-6"/>
          <w:sz w:val="24"/>
        </w:rPr>
        <w:t> </w:t>
      </w:r>
      <w:r>
        <w:rPr>
          <w:sz w:val="24"/>
        </w:rPr>
        <w:t>individuals’</w:t>
      </w:r>
      <w:r>
        <w:rPr>
          <w:spacing w:val="-18"/>
          <w:sz w:val="24"/>
        </w:rPr>
        <w:t> </w:t>
      </w:r>
      <w:r>
        <w:rPr>
          <w:sz w:val="24"/>
        </w:rPr>
        <w:t>primary</w:t>
      </w:r>
      <w:r>
        <w:rPr>
          <w:spacing w:val="-6"/>
          <w:sz w:val="24"/>
        </w:rPr>
        <w:t> </w:t>
      </w:r>
      <w:r>
        <w:rPr>
          <w:sz w:val="24"/>
        </w:rPr>
        <w:t>CRT</w:t>
      </w:r>
      <w:r>
        <w:rPr>
          <w:spacing w:val="-10"/>
          <w:sz w:val="24"/>
        </w:rPr>
        <w:t> </w:t>
      </w:r>
      <w:r>
        <w:rPr>
          <w:sz w:val="24"/>
        </w:rPr>
        <w:t>mobility</w:t>
      </w:r>
      <w:r>
        <w:rPr>
          <w:spacing w:val="-5"/>
          <w:sz w:val="24"/>
        </w:rPr>
        <w:t> </w:t>
      </w:r>
      <w:r>
        <w:rPr>
          <w:sz w:val="24"/>
        </w:rPr>
        <w:t>device</w:t>
      </w:r>
      <w:r>
        <w:rPr>
          <w:spacing w:val="-6"/>
          <w:sz w:val="24"/>
        </w:rPr>
        <w:t> </w:t>
      </w:r>
      <w:r>
        <w:rPr>
          <w:sz w:val="24"/>
        </w:rPr>
        <w:t>is</w:t>
      </w:r>
      <w:r>
        <w:rPr>
          <w:spacing w:val="-5"/>
          <w:sz w:val="24"/>
        </w:rPr>
        <w:t> </w:t>
      </w:r>
      <w:r>
        <w:rPr>
          <w:sz w:val="24"/>
        </w:rPr>
        <w:t>being</w:t>
      </w:r>
      <w:r>
        <w:rPr>
          <w:spacing w:val="-5"/>
          <w:sz w:val="24"/>
        </w:rPr>
        <w:t> </w:t>
      </w:r>
      <w:r>
        <w:rPr>
          <w:sz w:val="24"/>
        </w:rPr>
        <w:t>serviced</w:t>
      </w:r>
      <w:r>
        <w:rPr>
          <w:spacing w:val="-2"/>
          <w:sz w:val="24"/>
        </w:rPr>
        <w:t> </w:t>
      </w:r>
      <w:r>
        <w:rPr>
          <w:sz w:val="24"/>
        </w:rPr>
        <w:t>and</w:t>
      </w:r>
      <w:r>
        <w:rPr>
          <w:spacing w:val="-5"/>
          <w:sz w:val="24"/>
        </w:rPr>
        <w:t> </w:t>
      </w:r>
      <w:r>
        <w:rPr>
          <w:sz w:val="24"/>
        </w:rPr>
        <w:t>cover</w:t>
      </w:r>
    </w:p>
    <w:p>
      <w:pPr>
        <w:pStyle w:val="BodyText"/>
        <w:ind w:left="1540" w:right="143"/>
      </w:pPr>
      <w:r>
        <w:rPr/>
        <w:t>repairs</w:t>
      </w:r>
      <w:r>
        <w:rPr>
          <w:spacing w:val="-4"/>
        </w:rPr>
        <w:t> </w:t>
      </w:r>
      <w:r>
        <w:rPr/>
        <w:t>to</w:t>
      </w:r>
      <w:r>
        <w:rPr>
          <w:spacing w:val="-4"/>
        </w:rPr>
        <w:t> </w:t>
      </w:r>
      <w:r>
        <w:rPr/>
        <w:t>patient-owned</w:t>
      </w:r>
      <w:r>
        <w:rPr>
          <w:spacing w:val="-2"/>
        </w:rPr>
        <w:t> </w:t>
      </w:r>
      <w:r>
        <w:rPr/>
        <w:t>back-up</w:t>
      </w:r>
      <w:r>
        <w:rPr>
          <w:spacing w:val="-4"/>
        </w:rPr>
        <w:t> </w:t>
      </w:r>
      <w:r>
        <w:rPr/>
        <w:t>equipment</w:t>
      </w:r>
      <w:r>
        <w:rPr>
          <w:spacing w:val="-3"/>
        </w:rPr>
        <w:t> </w:t>
      </w:r>
      <w:r>
        <w:rPr/>
        <w:t>to</w:t>
      </w:r>
      <w:r>
        <w:rPr>
          <w:spacing w:val="-4"/>
        </w:rPr>
        <w:t> </w:t>
      </w:r>
      <w:r>
        <w:rPr/>
        <w:t>ensure</w:t>
      </w:r>
      <w:r>
        <w:rPr>
          <w:spacing w:val="-6"/>
        </w:rPr>
        <w:t> </w:t>
      </w:r>
      <w:r>
        <w:rPr/>
        <w:t>the</w:t>
      </w:r>
      <w:r>
        <w:rPr>
          <w:spacing w:val="-4"/>
        </w:rPr>
        <w:t> </w:t>
      </w:r>
      <w:r>
        <w:rPr/>
        <w:t>patient</w:t>
      </w:r>
      <w:r>
        <w:rPr>
          <w:spacing w:val="-4"/>
        </w:rPr>
        <w:t> </w:t>
      </w:r>
      <w:r>
        <w:rPr/>
        <w:t>has</w:t>
      </w:r>
      <w:r>
        <w:rPr>
          <w:spacing w:val="-3"/>
        </w:rPr>
        <w:t> </w:t>
      </w:r>
      <w:r>
        <w:rPr/>
        <w:t>a</w:t>
      </w:r>
      <w:r>
        <w:rPr>
          <w:spacing w:val="-5"/>
        </w:rPr>
        <w:t> </w:t>
      </w:r>
      <w:r>
        <w:rPr/>
        <w:t>functional spare for emergencies.</w:t>
      </w:r>
      <w:r>
        <w:rPr>
          <w:spacing w:val="40"/>
        </w:rPr>
        <w:t> </w:t>
      </w:r>
      <w:r>
        <w:rPr/>
        <w:t>These changes to coverage and payment policies would</w:t>
      </w:r>
    </w:p>
    <w:p>
      <w:pPr>
        <w:spacing w:after="0"/>
        <w:sectPr>
          <w:pgSz w:w="12240" w:h="15840"/>
          <w:pgMar w:header="0" w:footer="1012" w:top="1360" w:bottom="1200" w:left="1340" w:right="1320"/>
        </w:sectPr>
      </w:pPr>
    </w:p>
    <w:p>
      <w:pPr>
        <w:pStyle w:val="BodyText"/>
        <w:spacing w:before="79"/>
        <w:ind w:left="1540" w:right="143"/>
      </w:pPr>
      <w:r>
        <w:rPr/>
        <w:t>allow</w:t>
      </w:r>
      <w:r>
        <w:rPr>
          <w:spacing w:val="-4"/>
        </w:rPr>
        <w:t> </w:t>
      </w:r>
      <w:r>
        <w:rPr/>
        <w:t>suppliers</w:t>
      </w:r>
      <w:r>
        <w:rPr>
          <w:spacing w:val="-4"/>
        </w:rPr>
        <w:t> </w:t>
      </w:r>
      <w:r>
        <w:rPr/>
        <w:t>to</w:t>
      </w:r>
      <w:r>
        <w:rPr>
          <w:spacing w:val="-4"/>
        </w:rPr>
        <w:t> </w:t>
      </w:r>
      <w:r>
        <w:rPr/>
        <w:t>meet</w:t>
      </w:r>
      <w:r>
        <w:rPr>
          <w:spacing w:val="-4"/>
        </w:rPr>
        <w:t> </w:t>
      </w:r>
      <w:r>
        <w:rPr/>
        <w:t>the</w:t>
      </w:r>
      <w:r>
        <w:rPr>
          <w:spacing w:val="-5"/>
        </w:rPr>
        <w:t> </w:t>
      </w:r>
      <w:r>
        <w:rPr/>
        <w:t>needs</w:t>
      </w:r>
      <w:r>
        <w:rPr>
          <w:spacing w:val="-4"/>
        </w:rPr>
        <w:t> </w:t>
      </w:r>
      <w:r>
        <w:rPr/>
        <w:t>of</w:t>
      </w:r>
      <w:r>
        <w:rPr>
          <w:spacing w:val="-4"/>
        </w:rPr>
        <w:t> </w:t>
      </w:r>
      <w:r>
        <w:rPr/>
        <w:t>individuals</w:t>
      </w:r>
      <w:r>
        <w:rPr>
          <w:spacing w:val="-4"/>
        </w:rPr>
        <w:t> </w:t>
      </w:r>
      <w:r>
        <w:rPr/>
        <w:t>with</w:t>
      </w:r>
      <w:r>
        <w:rPr>
          <w:spacing w:val="-4"/>
        </w:rPr>
        <w:t> </w:t>
      </w:r>
      <w:r>
        <w:rPr/>
        <w:t>mobility</w:t>
      </w:r>
      <w:r>
        <w:rPr>
          <w:spacing w:val="-4"/>
        </w:rPr>
        <w:t> </w:t>
      </w:r>
      <w:r>
        <w:rPr/>
        <w:t>disabilities</w:t>
      </w:r>
      <w:r>
        <w:rPr>
          <w:spacing w:val="-4"/>
        </w:rPr>
        <w:t> </w:t>
      </w:r>
      <w:r>
        <w:rPr/>
        <w:t>in</w:t>
      </w:r>
      <w:r>
        <w:rPr>
          <w:spacing w:val="-4"/>
        </w:rPr>
        <w:t> </w:t>
      </w:r>
      <w:r>
        <w:rPr/>
        <w:t>a timely, safe, and efficient manner.</w:t>
      </w:r>
    </w:p>
    <w:p>
      <w:pPr>
        <w:pStyle w:val="ListParagraph"/>
        <w:numPr>
          <w:ilvl w:val="0"/>
          <w:numId w:val="2"/>
        </w:numPr>
        <w:tabs>
          <w:tab w:pos="1877" w:val="left" w:leader="none"/>
        </w:tabs>
        <w:spacing w:line="240" w:lineRule="auto" w:before="161" w:after="0"/>
        <w:ind w:left="1540" w:right="527" w:firstLine="0"/>
        <w:jc w:val="left"/>
        <w:rPr>
          <w:sz w:val="24"/>
        </w:rPr>
      </w:pPr>
      <w:r>
        <w:rPr>
          <w:sz w:val="24"/>
        </w:rPr>
        <w:t>Establish a clear, transparent, and accessible communication channel for customer</w:t>
      </w:r>
      <w:r>
        <w:rPr>
          <w:spacing w:val="-4"/>
          <w:sz w:val="24"/>
        </w:rPr>
        <w:t> </w:t>
      </w:r>
      <w:r>
        <w:rPr>
          <w:sz w:val="24"/>
        </w:rPr>
        <w:t>support,</w:t>
      </w:r>
      <w:r>
        <w:rPr>
          <w:spacing w:val="-4"/>
          <w:sz w:val="24"/>
        </w:rPr>
        <w:t> </w:t>
      </w:r>
      <w:r>
        <w:rPr>
          <w:sz w:val="24"/>
        </w:rPr>
        <w:t>allowing</w:t>
      </w:r>
      <w:r>
        <w:rPr>
          <w:spacing w:val="-4"/>
          <w:sz w:val="24"/>
        </w:rPr>
        <w:t> </w:t>
      </w:r>
      <w:r>
        <w:rPr>
          <w:sz w:val="24"/>
        </w:rPr>
        <w:t>customers</w:t>
      </w:r>
      <w:r>
        <w:rPr>
          <w:spacing w:val="-4"/>
          <w:sz w:val="24"/>
        </w:rPr>
        <w:t> </w:t>
      </w:r>
      <w:r>
        <w:rPr>
          <w:sz w:val="24"/>
        </w:rPr>
        <w:t>to</w:t>
      </w:r>
      <w:r>
        <w:rPr>
          <w:spacing w:val="-4"/>
          <w:sz w:val="24"/>
        </w:rPr>
        <w:t> </w:t>
      </w:r>
      <w:r>
        <w:rPr>
          <w:sz w:val="24"/>
        </w:rPr>
        <w:t>be</w:t>
      </w:r>
      <w:r>
        <w:rPr>
          <w:spacing w:val="-5"/>
          <w:sz w:val="24"/>
        </w:rPr>
        <w:t> </w:t>
      </w:r>
      <w:r>
        <w:rPr>
          <w:sz w:val="24"/>
        </w:rPr>
        <w:t>informed</w:t>
      </w:r>
      <w:r>
        <w:rPr>
          <w:spacing w:val="-4"/>
          <w:sz w:val="24"/>
        </w:rPr>
        <w:t> </w:t>
      </w:r>
      <w:r>
        <w:rPr>
          <w:sz w:val="24"/>
        </w:rPr>
        <w:t>about</w:t>
      </w:r>
      <w:r>
        <w:rPr>
          <w:spacing w:val="-4"/>
          <w:sz w:val="24"/>
        </w:rPr>
        <w:t> </w:t>
      </w:r>
      <w:r>
        <w:rPr>
          <w:sz w:val="24"/>
        </w:rPr>
        <w:t>repair</w:t>
      </w:r>
      <w:r>
        <w:rPr>
          <w:spacing w:val="-4"/>
          <w:sz w:val="24"/>
        </w:rPr>
        <w:t> </w:t>
      </w:r>
      <w:r>
        <w:rPr>
          <w:sz w:val="24"/>
        </w:rPr>
        <w:t>options</w:t>
      </w:r>
      <w:r>
        <w:rPr>
          <w:spacing w:val="-4"/>
          <w:sz w:val="24"/>
        </w:rPr>
        <w:t> </w:t>
      </w:r>
      <w:r>
        <w:rPr>
          <w:sz w:val="24"/>
        </w:rPr>
        <w:t>and general timeframes for the completion of repairs.</w:t>
      </w:r>
    </w:p>
    <w:p>
      <w:pPr>
        <w:pStyle w:val="Heading1"/>
        <w:spacing w:before="159"/>
      </w:pPr>
      <w:r>
        <w:rPr/>
        <w:t>Solution</w:t>
      </w:r>
      <w:r>
        <w:rPr>
          <w:spacing w:val="-1"/>
        </w:rPr>
        <w:t> </w:t>
      </w:r>
      <w:r>
        <w:rPr/>
        <w:t>#6</w:t>
      </w:r>
      <w:r>
        <w:rPr>
          <w:spacing w:val="-1"/>
        </w:rPr>
        <w:t> </w:t>
      </w:r>
      <w:r>
        <w:rPr/>
        <w:t>–</w:t>
      </w:r>
      <w:r>
        <w:rPr>
          <w:spacing w:val="-4"/>
        </w:rPr>
        <w:t> </w:t>
      </w:r>
      <w:r>
        <w:rPr/>
        <w:t>Establish</w:t>
      </w:r>
      <w:r>
        <w:rPr>
          <w:spacing w:val="-1"/>
        </w:rPr>
        <w:t> </w:t>
      </w:r>
      <w:r>
        <w:rPr/>
        <w:t>the</w:t>
      </w:r>
      <w:r>
        <w:rPr>
          <w:spacing w:val="-2"/>
        </w:rPr>
        <w:t> </w:t>
      </w:r>
      <w:r>
        <w:rPr/>
        <w:t>right</w:t>
      </w:r>
      <w:r>
        <w:rPr>
          <w:spacing w:val="-2"/>
        </w:rPr>
        <w:t> </w:t>
      </w:r>
      <w:r>
        <w:rPr/>
        <w:t>of</w:t>
      </w:r>
      <w:r>
        <w:rPr>
          <w:spacing w:val="-1"/>
        </w:rPr>
        <w:t> </w:t>
      </w:r>
      <w:r>
        <w:rPr/>
        <w:t>beneficiaries to</w:t>
      </w:r>
      <w:r>
        <w:rPr>
          <w:spacing w:val="-2"/>
        </w:rPr>
        <w:t> </w:t>
      </w:r>
      <w:r>
        <w:rPr/>
        <w:t>self-repair</w:t>
      </w:r>
      <w:r>
        <w:rPr>
          <w:spacing w:val="-5"/>
        </w:rPr>
        <w:t> </w:t>
      </w:r>
      <w:r>
        <w:rPr/>
        <w:t>their</w:t>
      </w:r>
      <w:r>
        <w:rPr>
          <w:spacing w:val="-7"/>
        </w:rPr>
        <w:t> </w:t>
      </w:r>
      <w:r>
        <w:rPr/>
        <w:t>own mobility </w:t>
      </w:r>
      <w:r>
        <w:rPr>
          <w:spacing w:val="-2"/>
        </w:rPr>
        <w:t>device</w:t>
      </w:r>
    </w:p>
    <w:p>
      <w:pPr>
        <w:pStyle w:val="ListParagraph"/>
        <w:numPr>
          <w:ilvl w:val="0"/>
          <w:numId w:val="1"/>
        </w:numPr>
        <w:tabs>
          <w:tab w:pos="820" w:val="left" w:leader="none"/>
        </w:tabs>
        <w:spacing w:line="240" w:lineRule="auto" w:before="160" w:after="0"/>
        <w:ind w:left="820" w:right="125" w:hanging="360"/>
        <w:jc w:val="left"/>
        <w:rPr>
          <w:sz w:val="24"/>
        </w:rPr>
      </w:pPr>
      <w:r>
        <w:rPr>
          <w:sz w:val="24"/>
        </w:rPr>
        <w:t>Individuals</w:t>
      </w:r>
      <w:r>
        <w:rPr>
          <w:spacing w:val="-2"/>
          <w:sz w:val="24"/>
        </w:rPr>
        <w:t> </w:t>
      </w:r>
      <w:r>
        <w:rPr>
          <w:sz w:val="24"/>
        </w:rPr>
        <w:t>who</w:t>
      </w:r>
      <w:r>
        <w:rPr>
          <w:spacing w:val="-2"/>
          <w:sz w:val="24"/>
        </w:rPr>
        <w:t> </w:t>
      </w:r>
      <w:r>
        <w:rPr>
          <w:sz w:val="24"/>
        </w:rPr>
        <w:t>use</w:t>
      </w:r>
      <w:r>
        <w:rPr>
          <w:spacing w:val="-2"/>
          <w:sz w:val="24"/>
        </w:rPr>
        <w:t> </w:t>
      </w:r>
      <w:r>
        <w:rPr>
          <w:sz w:val="24"/>
        </w:rPr>
        <w:t>CRT</w:t>
      </w:r>
      <w:r>
        <w:rPr>
          <w:spacing w:val="-7"/>
          <w:sz w:val="24"/>
        </w:rPr>
        <w:t> </w:t>
      </w:r>
      <w:r>
        <w:rPr>
          <w:sz w:val="24"/>
        </w:rPr>
        <w:t>manual</w:t>
      </w:r>
      <w:r>
        <w:rPr>
          <w:spacing w:val="-2"/>
          <w:sz w:val="24"/>
        </w:rPr>
        <w:t> </w:t>
      </w:r>
      <w:r>
        <w:rPr>
          <w:sz w:val="24"/>
        </w:rPr>
        <w:t>or</w:t>
      </w:r>
      <w:r>
        <w:rPr>
          <w:spacing w:val="-2"/>
          <w:sz w:val="24"/>
        </w:rPr>
        <w:t> </w:t>
      </w:r>
      <w:r>
        <w:rPr>
          <w:sz w:val="24"/>
        </w:rPr>
        <w:t>power</w:t>
      </w:r>
      <w:r>
        <w:rPr>
          <w:spacing w:val="-2"/>
          <w:sz w:val="24"/>
        </w:rPr>
        <w:t> </w:t>
      </w:r>
      <w:r>
        <w:rPr>
          <w:sz w:val="24"/>
        </w:rPr>
        <w:t>wheelchairs</w:t>
      </w:r>
      <w:r>
        <w:rPr>
          <w:spacing w:val="-2"/>
          <w:sz w:val="24"/>
        </w:rPr>
        <w:t> </w:t>
      </w:r>
      <w:r>
        <w:rPr>
          <w:sz w:val="24"/>
        </w:rPr>
        <w:t>should</w:t>
      </w:r>
      <w:r>
        <w:rPr>
          <w:spacing w:val="-2"/>
          <w:sz w:val="24"/>
        </w:rPr>
        <w:t> </w:t>
      </w:r>
      <w:r>
        <w:rPr>
          <w:sz w:val="24"/>
        </w:rPr>
        <w:t>be</w:t>
      </w:r>
      <w:r>
        <w:rPr>
          <w:spacing w:val="-1"/>
          <w:sz w:val="24"/>
        </w:rPr>
        <w:t> </w:t>
      </w:r>
      <w:r>
        <w:rPr>
          <w:sz w:val="24"/>
        </w:rPr>
        <w:t>permitted to</w:t>
      </w:r>
      <w:r>
        <w:rPr>
          <w:spacing w:val="-2"/>
          <w:sz w:val="24"/>
        </w:rPr>
        <w:t> </w:t>
      </w:r>
      <w:r>
        <w:rPr>
          <w:sz w:val="24"/>
        </w:rPr>
        <w:t>self-repair their wheelchairs and to purchase some items directly from manufacturers and suppliers (where</w:t>
      </w:r>
      <w:r>
        <w:rPr>
          <w:spacing w:val="-5"/>
          <w:sz w:val="24"/>
        </w:rPr>
        <w:t> </w:t>
      </w:r>
      <w:r>
        <w:rPr>
          <w:sz w:val="24"/>
        </w:rPr>
        <w:t>contractually</w:t>
      </w:r>
      <w:r>
        <w:rPr>
          <w:spacing w:val="-4"/>
          <w:sz w:val="24"/>
        </w:rPr>
        <w:t> </w:t>
      </w:r>
      <w:r>
        <w:rPr>
          <w:sz w:val="24"/>
        </w:rPr>
        <w:t>permitted)</w:t>
      </w:r>
      <w:r>
        <w:rPr>
          <w:spacing w:val="-4"/>
          <w:sz w:val="24"/>
        </w:rPr>
        <w:t> </w:t>
      </w:r>
      <w:r>
        <w:rPr>
          <w:sz w:val="24"/>
        </w:rPr>
        <w:t>to</w:t>
      </w:r>
      <w:r>
        <w:rPr>
          <w:spacing w:val="-4"/>
          <w:sz w:val="24"/>
        </w:rPr>
        <w:t> </w:t>
      </w:r>
      <w:r>
        <w:rPr>
          <w:sz w:val="24"/>
        </w:rPr>
        <w:t>expedite</w:t>
      </w:r>
      <w:r>
        <w:rPr>
          <w:spacing w:val="-5"/>
          <w:sz w:val="24"/>
        </w:rPr>
        <w:t> </w:t>
      </w:r>
      <w:r>
        <w:rPr>
          <w:sz w:val="24"/>
        </w:rPr>
        <w:t>the</w:t>
      </w:r>
      <w:r>
        <w:rPr>
          <w:spacing w:val="-4"/>
          <w:sz w:val="24"/>
        </w:rPr>
        <w:t> </w:t>
      </w:r>
      <w:r>
        <w:rPr>
          <w:sz w:val="24"/>
        </w:rPr>
        <w:t>process.</w:t>
      </w:r>
      <w:r>
        <w:rPr>
          <w:spacing w:val="40"/>
          <w:sz w:val="24"/>
        </w:rPr>
        <w:t> </w:t>
      </w:r>
      <w:r>
        <w:rPr>
          <w:sz w:val="24"/>
        </w:rPr>
        <w:t>Certain</w:t>
      </w:r>
      <w:r>
        <w:rPr>
          <w:spacing w:val="-4"/>
          <w:sz w:val="24"/>
        </w:rPr>
        <w:t> </w:t>
      </w:r>
      <w:r>
        <w:rPr>
          <w:sz w:val="24"/>
        </w:rPr>
        <w:t>items</w:t>
      </w:r>
      <w:r>
        <w:rPr>
          <w:spacing w:val="-4"/>
          <w:sz w:val="24"/>
        </w:rPr>
        <w:t> </w:t>
      </w:r>
      <w:r>
        <w:rPr>
          <w:sz w:val="24"/>
        </w:rPr>
        <w:t>on</w:t>
      </w:r>
      <w:r>
        <w:rPr>
          <w:spacing w:val="-3"/>
          <w:sz w:val="24"/>
        </w:rPr>
        <w:t> </w:t>
      </w:r>
      <w:r>
        <w:rPr>
          <w:sz w:val="24"/>
        </w:rPr>
        <w:t>CRT</w:t>
      </w:r>
      <w:r>
        <w:rPr>
          <w:spacing w:val="-9"/>
          <w:sz w:val="24"/>
        </w:rPr>
        <w:t> </w:t>
      </w:r>
      <w:r>
        <w:rPr>
          <w:sz w:val="24"/>
        </w:rPr>
        <w:t>power</w:t>
      </w:r>
      <w:r>
        <w:rPr>
          <w:spacing w:val="-5"/>
          <w:sz w:val="24"/>
        </w:rPr>
        <w:t> </w:t>
      </w:r>
      <w:r>
        <w:rPr>
          <w:sz w:val="24"/>
        </w:rPr>
        <w:t>and manual wheelchairs at the time of initial delivery should qualify for self-repair, with the exception of complex components such as parts that require</w:t>
      </w:r>
      <w:r>
        <w:rPr>
          <w:spacing w:val="-1"/>
          <w:sz w:val="24"/>
        </w:rPr>
        <w:t> </w:t>
      </w:r>
      <w:r>
        <w:rPr>
          <w:sz w:val="24"/>
        </w:rPr>
        <w:t>programming, calibration, or clinical involvement to ensure optimum health outcomes.</w:t>
      </w:r>
      <w:r>
        <w:rPr>
          <w:spacing w:val="40"/>
          <w:sz w:val="24"/>
        </w:rPr>
        <w:t> </w:t>
      </w:r>
      <w:r>
        <w:rPr>
          <w:sz w:val="24"/>
        </w:rPr>
        <w:t>Suppliers and manufacturers should be required to inform the individual who purchases the items used for repair that they will not be reimbursed for the cost, nor will the manufacturers’</w:t>
      </w:r>
      <w:r>
        <w:rPr>
          <w:spacing w:val="-10"/>
          <w:sz w:val="24"/>
        </w:rPr>
        <w:t> </w:t>
      </w:r>
      <w:r>
        <w:rPr>
          <w:sz w:val="24"/>
        </w:rPr>
        <w:t>warrantees be waived, unless such self-repairs are for complex components or are performed</w:t>
      </w:r>
      <w:r>
        <w:rPr>
          <w:spacing w:val="40"/>
          <w:sz w:val="24"/>
        </w:rPr>
        <w:t> </w:t>
      </w:r>
      <w:r>
        <w:rPr>
          <w:spacing w:val="-2"/>
          <w:sz w:val="24"/>
        </w:rPr>
        <w:t>incorrectly.</w:t>
      </w:r>
    </w:p>
    <w:p>
      <w:pPr>
        <w:pStyle w:val="ListParagraph"/>
        <w:numPr>
          <w:ilvl w:val="0"/>
          <w:numId w:val="1"/>
        </w:numPr>
        <w:tabs>
          <w:tab w:pos="820" w:val="left" w:leader="none"/>
        </w:tabs>
        <w:spacing w:line="240" w:lineRule="auto" w:before="0" w:after="0"/>
        <w:ind w:left="820" w:right="143" w:hanging="360"/>
        <w:jc w:val="left"/>
        <w:rPr>
          <w:sz w:val="24"/>
        </w:rPr>
      </w:pPr>
      <w:r>
        <w:rPr>
          <w:sz w:val="24"/>
        </w:rPr>
        <w:t>Waiver of liability issues in instances of self-repair can become complicated.</w:t>
      </w:r>
      <w:r>
        <w:rPr>
          <w:spacing w:val="40"/>
          <w:sz w:val="24"/>
        </w:rPr>
        <w:t> </w:t>
      </w:r>
      <w:r>
        <w:rPr>
          <w:sz w:val="24"/>
        </w:rPr>
        <w:t>When simple repairs are performed by either the beneficiary or an independent contractor, warranties on the underlying mobility device should continue to remain in full force and effect.</w:t>
      </w:r>
      <w:r>
        <w:rPr>
          <w:spacing w:val="73"/>
          <w:sz w:val="24"/>
        </w:rPr>
        <w:t> </w:t>
      </w:r>
      <w:r>
        <w:rPr>
          <w:sz w:val="24"/>
        </w:rPr>
        <w:t>However, when the beneficiary or an independent contractor performs repairs on a CRT wheelchair, manufacturers and suppliers should not generally be held responsible if the repairs were faulty or performed in an improper manner.</w:t>
      </w:r>
      <w:r>
        <w:rPr>
          <w:spacing w:val="40"/>
          <w:sz w:val="24"/>
        </w:rPr>
        <w:t> </w:t>
      </w:r>
      <w:r>
        <w:rPr>
          <w:sz w:val="24"/>
        </w:rPr>
        <w:t>Such repairs could cause damage to the function of the underlying CRT wheelchair, related damages, or the inability</w:t>
      </w:r>
      <w:r>
        <w:rPr>
          <w:spacing w:val="-7"/>
          <w:sz w:val="24"/>
        </w:rPr>
        <w:t> </w:t>
      </w:r>
      <w:r>
        <w:rPr>
          <w:sz w:val="24"/>
        </w:rPr>
        <w:t>to</w:t>
      </w:r>
      <w:r>
        <w:rPr>
          <w:spacing w:val="-7"/>
          <w:sz w:val="24"/>
        </w:rPr>
        <w:t> </w:t>
      </w:r>
      <w:r>
        <w:rPr>
          <w:sz w:val="24"/>
        </w:rPr>
        <w:t>optimally</w:t>
      </w:r>
      <w:r>
        <w:rPr>
          <w:spacing w:val="-7"/>
          <w:sz w:val="24"/>
        </w:rPr>
        <w:t> </w:t>
      </w:r>
      <w:r>
        <w:rPr>
          <w:sz w:val="24"/>
        </w:rPr>
        <w:t>use</w:t>
      </w:r>
      <w:r>
        <w:rPr>
          <w:spacing w:val="-7"/>
          <w:sz w:val="24"/>
        </w:rPr>
        <w:t> </w:t>
      </w:r>
      <w:r>
        <w:rPr>
          <w:sz w:val="24"/>
        </w:rPr>
        <w:t>the</w:t>
      </w:r>
      <w:r>
        <w:rPr>
          <w:spacing w:val="-7"/>
          <w:sz w:val="24"/>
        </w:rPr>
        <w:t> </w:t>
      </w:r>
      <w:r>
        <w:rPr>
          <w:sz w:val="24"/>
        </w:rPr>
        <w:t>poorly-repaired</w:t>
      </w:r>
      <w:r>
        <w:rPr>
          <w:spacing w:val="-7"/>
          <w:sz w:val="24"/>
        </w:rPr>
        <w:t> </w:t>
      </w:r>
      <w:r>
        <w:rPr>
          <w:sz w:val="24"/>
        </w:rPr>
        <w:t>CRT</w:t>
      </w:r>
      <w:r>
        <w:rPr>
          <w:spacing w:val="-9"/>
          <w:sz w:val="24"/>
        </w:rPr>
        <w:t> </w:t>
      </w:r>
      <w:r>
        <w:rPr>
          <w:sz w:val="24"/>
        </w:rPr>
        <w:t>wheelchair.</w:t>
      </w:r>
      <w:r>
        <w:rPr>
          <w:spacing w:val="40"/>
          <w:sz w:val="24"/>
        </w:rPr>
        <w:t> </w:t>
      </w:r>
      <w:r>
        <w:rPr>
          <w:sz w:val="24"/>
        </w:rPr>
        <w:t>The</w:t>
      </w:r>
      <w:r>
        <w:rPr>
          <w:spacing w:val="-7"/>
          <w:sz w:val="24"/>
        </w:rPr>
        <w:t> </w:t>
      </w:r>
      <w:r>
        <w:rPr>
          <w:sz w:val="24"/>
        </w:rPr>
        <w:t>original</w:t>
      </w:r>
      <w:r>
        <w:rPr>
          <w:spacing w:val="-6"/>
          <w:sz w:val="24"/>
        </w:rPr>
        <w:t> </w:t>
      </w:r>
      <w:r>
        <w:rPr>
          <w:sz w:val="24"/>
        </w:rPr>
        <w:t>manufacturer and supplier should generally not be held liable for these damages in this instance.</w:t>
      </w:r>
    </w:p>
    <w:p>
      <w:pPr>
        <w:spacing w:before="160"/>
        <w:ind w:left="1" w:right="18" w:firstLine="0"/>
        <w:jc w:val="center"/>
        <w:rPr>
          <w:sz w:val="24"/>
        </w:rPr>
      </w:pPr>
      <w:r>
        <w:rPr>
          <w:spacing w:val="-2"/>
          <w:sz w:val="24"/>
        </w:rPr>
        <w:t>********</w:t>
      </w:r>
    </w:p>
    <w:p>
      <w:pPr>
        <w:pStyle w:val="BodyText"/>
        <w:spacing w:before="159"/>
        <w:ind w:right="143"/>
      </w:pPr>
      <w:r>
        <w:rPr/>
        <w:t>The</w:t>
      </w:r>
      <w:r>
        <w:rPr>
          <w:spacing w:val="-3"/>
        </w:rPr>
        <w:t> </w:t>
      </w:r>
      <w:r>
        <w:rPr/>
        <w:t>ITEM</w:t>
      </w:r>
      <w:r>
        <w:rPr>
          <w:spacing w:val="-3"/>
        </w:rPr>
        <w:t> </w:t>
      </w:r>
      <w:r>
        <w:rPr/>
        <w:t>Coalition</w:t>
      </w:r>
      <w:r>
        <w:rPr>
          <w:spacing w:val="-3"/>
        </w:rPr>
        <w:t> </w:t>
      </w:r>
      <w:r>
        <w:rPr/>
        <w:t>is</w:t>
      </w:r>
      <w:r>
        <w:rPr>
          <w:spacing w:val="-3"/>
        </w:rPr>
        <w:t> </w:t>
      </w:r>
      <w:r>
        <w:rPr/>
        <w:t>proud</w:t>
      </w:r>
      <w:r>
        <w:rPr>
          <w:spacing w:val="-3"/>
        </w:rPr>
        <w:t> </w:t>
      </w:r>
      <w:r>
        <w:rPr/>
        <w:t>to</w:t>
      </w:r>
      <w:r>
        <w:rPr>
          <w:spacing w:val="-3"/>
        </w:rPr>
        <w:t> </w:t>
      </w:r>
      <w:r>
        <w:rPr/>
        <w:t>endorse</w:t>
      </w:r>
      <w:r>
        <w:rPr>
          <w:spacing w:val="-5"/>
        </w:rPr>
        <w:t> </w:t>
      </w:r>
      <w:r>
        <w:rPr/>
        <w:t>these</w:t>
      </w:r>
      <w:r>
        <w:rPr>
          <w:spacing w:val="-5"/>
        </w:rPr>
        <w:t> </w:t>
      </w:r>
      <w:r>
        <w:rPr/>
        <w:t>proposed</w:t>
      </w:r>
      <w:r>
        <w:rPr>
          <w:spacing w:val="-3"/>
        </w:rPr>
        <w:t> </w:t>
      </w:r>
      <w:r>
        <w:rPr/>
        <w:t>and</w:t>
      </w:r>
      <w:r>
        <w:rPr>
          <w:spacing w:val="-3"/>
        </w:rPr>
        <w:t> </w:t>
      </w:r>
      <w:r>
        <w:rPr/>
        <w:t>common-sense</w:t>
      </w:r>
      <w:r>
        <w:rPr>
          <w:spacing w:val="-4"/>
        </w:rPr>
        <w:t> </w:t>
      </w:r>
      <w:r>
        <w:rPr/>
        <w:t>solutions</w:t>
      </w:r>
      <w:r>
        <w:rPr>
          <w:spacing w:val="-3"/>
        </w:rPr>
        <w:t> </w:t>
      </w:r>
      <w:r>
        <w:rPr/>
        <w:t>to</w:t>
      </w:r>
      <w:r>
        <w:rPr>
          <w:spacing w:val="-3"/>
        </w:rPr>
        <w:t> </w:t>
      </w:r>
      <w:r>
        <w:rPr/>
        <w:t>improve the repair and maintenance of complex rehabilitative technology manual and power wheelchairs for the benefit of individuals with mobility disabilities and their families.</w:t>
      </w:r>
    </w:p>
    <w:p>
      <w:pPr>
        <w:pStyle w:val="BodyText"/>
        <w:spacing w:before="160"/>
        <w:ind w:left="0"/>
      </w:pPr>
    </w:p>
    <w:p>
      <w:pPr>
        <w:pStyle w:val="Heading1"/>
        <w:spacing w:before="0"/>
      </w:pPr>
      <w:r>
        <w:rPr>
          <w:u w:val="single"/>
        </w:rPr>
        <w:t>On Behalf</w:t>
      </w:r>
      <w:r>
        <w:rPr>
          <w:spacing w:val="-1"/>
          <w:u w:val="single"/>
        </w:rPr>
        <w:t> </w:t>
      </w:r>
      <w:r>
        <w:rPr>
          <w:u w:val="single"/>
        </w:rPr>
        <w:t>of</w:t>
      </w:r>
      <w:r>
        <w:rPr>
          <w:spacing w:val="-2"/>
          <w:u w:val="single"/>
        </w:rPr>
        <w:t> </w:t>
      </w:r>
      <w:r>
        <w:rPr>
          <w:u w:val="single"/>
        </w:rPr>
        <w:t>the</w:t>
      </w:r>
      <w:r>
        <w:rPr>
          <w:spacing w:val="-2"/>
          <w:u w:val="single"/>
        </w:rPr>
        <w:t> </w:t>
      </w:r>
      <w:r>
        <w:rPr>
          <w:u w:val="single"/>
        </w:rPr>
        <w:t>Undersigned Members</w:t>
      </w:r>
      <w:r>
        <w:rPr>
          <w:spacing w:val="-1"/>
          <w:u w:val="single"/>
        </w:rPr>
        <w:t> </w:t>
      </w:r>
      <w:r>
        <w:rPr>
          <w:u w:val="single"/>
        </w:rPr>
        <w:t>of</w:t>
      </w:r>
      <w:r>
        <w:rPr>
          <w:spacing w:val="-1"/>
          <w:u w:val="single"/>
        </w:rPr>
        <w:t> </w:t>
      </w:r>
      <w:r>
        <w:rPr>
          <w:u w:val="single"/>
        </w:rPr>
        <w:t>the ITEM</w:t>
      </w:r>
      <w:r>
        <w:rPr>
          <w:spacing w:val="-1"/>
          <w:u w:val="single"/>
        </w:rPr>
        <w:t> </w:t>
      </w:r>
      <w:r>
        <w:rPr>
          <w:spacing w:val="-2"/>
          <w:u w:val="single"/>
        </w:rPr>
        <w:t>Coalition:</w:t>
      </w:r>
    </w:p>
    <w:p>
      <w:pPr>
        <w:pStyle w:val="BodyText"/>
        <w:spacing w:before="162"/>
        <w:ind w:right="7650"/>
      </w:pPr>
      <w:r>
        <w:rPr/>
        <w:t>Access</w:t>
      </w:r>
      <w:r>
        <w:rPr>
          <w:spacing w:val="-15"/>
        </w:rPr>
        <w:t> </w:t>
      </w:r>
      <w:r>
        <w:rPr/>
        <w:t>Ready,</w:t>
      </w:r>
      <w:r>
        <w:rPr>
          <w:spacing w:val="-15"/>
        </w:rPr>
        <w:t> </w:t>
      </w:r>
      <w:r>
        <w:rPr/>
        <w:t>Inc. </w:t>
      </w:r>
      <w:r>
        <w:rPr>
          <w:spacing w:val="-2"/>
        </w:rPr>
        <w:t>ACCSES</w:t>
      </w:r>
    </w:p>
    <w:p>
      <w:pPr>
        <w:pStyle w:val="BodyText"/>
        <w:ind w:right="2612"/>
      </w:pPr>
      <w:r>
        <w:rPr/>
        <w:t>Alexander</w:t>
      </w:r>
      <w:r>
        <w:rPr>
          <w:spacing w:val="-5"/>
        </w:rPr>
        <w:t> </w:t>
      </w:r>
      <w:r>
        <w:rPr/>
        <w:t>Graham</w:t>
      </w:r>
      <w:r>
        <w:rPr>
          <w:spacing w:val="-5"/>
        </w:rPr>
        <w:t> </w:t>
      </w:r>
      <w:r>
        <w:rPr/>
        <w:t>Bell</w:t>
      </w:r>
      <w:r>
        <w:rPr>
          <w:spacing w:val="-15"/>
        </w:rPr>
        <w:t> </w:t>
      </w:r>
      <w:r>
        <w:rPr/>
        <w:t>Association</w:t>
      </w:r>
      <w:r>
        <w:rPr>
          <w:spacing w:val="-5"/>
        </w:rPr>
        <w:t> </w:t>
      </w:r>
      <w:r>
        <w:rPr/>
        <w:t>for</w:t>
      </w:r>
      <w:r>
        <w:rPr>
          <w:spacing w:val="-6"/>
        </w:rPr>
        <w:t> </w:t>
      </w:r>
      <w:r>
        <w:rPr/>
        <w:t>the</w:t>
      </w:r>
      <w:r>
        <w:rPr>
          <w:spacing w:val="-5"/>
        </w:rPr>
        <w:t> </w:t>
      </w:r>
      <w:r>
        <w:rPr/>
        <w:t>Deaf</w:t>
      </w:r>
      <w:r>
        <w:rPr>
          <w:spacing w:val="-4"/>
        </w:rPr>
        <w:t> </w:t>
      </w:r>
      <w:r>
        <w:rPr/>
        <w:t>and</w:t>
      </w:r>
      <w:r>
        <w:rPr>
          <w:spacing w:val="-5"/>
        </w:rPr>
        <w:t> </w:t>
      </w:r>
      <w:r>
        <w:rPr/>
        <w:t>Hard</w:t>
      </w:r>
      <w:r>
        <w:rPr>
          <w:spacing w:val="-5"/>
        </w:rPr>
        <w:t> </w:t>
      </w:r>
      <w:r>
        <w:rPr/>
        <w:t>of</w:t>
      </w:r>
      <w:r>
        <w:rPr>
          <w:spacing w:val="-5"/>
        </w:rPr>
        <w:t> </w:t>
      </w:r>
      <w:r>
        <w:rPr/>
        <w:t>Hearing All Wheels Up</w:t>
      </w:r>
    </w:p>
    <w:p>
      <w:pPr>
        <w:pStyle w:val="Heading2"/>
        <w:rPr>
          <w:i/>
        </w:rPr>
      </w:pPr>
      <w:r>
        <w:rPr>
          <w:i/>
        </w:rPr>
        <w:t>ALS</w:t>
      </w:r>
      <w:r>
        <w:rPr>
          <w:i/>
          <w:spacing w:val="-10"/>
        </w:rPr>
        <w:t> </w:t>
      </w:r>
      <w:r>
        <w:rPr>
          <w:i/>
          <w:spacing w:val="-2"/>
        </w:rPr>
        <w:t>Association*</w:t>
      </w:r>
    </w:p>
    <w:p>
      <w:pPr>
        <w:pStyle w:val="BodyText"/>
        <w:ind w:right="3515"/>
      </w:pPr>
      <w:r>
        <w:rPr/>
        <w:t>American</w:t>
      </w:r>
      <w:r>
        <w:rPr>
          <w:spacing w:val="-15"/>
        </w:rPr>
        <w:t> </w:t>
      </w:r>
      <w:r>
        <w:rPr/>
        <w:t>Academy</w:t>
      </w:r>
      <w:r>
        <w:rPr>
          <w:spacing w:val="-10"/>
        </w:rPr>
        <w:t> </w:t>
      </w:r>
      <w:r>
        <w:rPr/>
        <w:t>of</w:t>
      </w:r>
      <w:r>
        <w:rPr>
          <w:spacing w:val="-7"/>
        </w:rPr>
        <w:t> </w:t>
      </w:r>
      <w:r>
        <w:rPr/>
        <w:t>Physical</w:t>
      </w:r>
      <w:r>
        <w:rPr>
          <w:spacing w:val="-7"/>
        </w:rPr>
        <w:t> </w:t>
      </w:r>
      <w:r>
        <w:rPr/>
        <w:t>Medicine</w:t>
      </w:r>
      <w:r>
        <w:rPr>
          <w:spacing w:val="-6"/>
        </w:rPr>
        <w:t> </w:t>
      </w:r>
      <w:r>
        <w:rPr/>
        <w:t>&amp;</w:t>
      </w:r>
      <w:r>
        <w:rPr>
          <w:spacing w:val="-7"/>
        </w:rPr>
        <w:t> </w:t>
      </w:r>
      <w:r>
        <w:rPr/>
        <w:t>Rehabilitation American Association for Homecare</w:t>
      </w:r>
    </w:p>
    <w:p>
      <w:pPr>
        <w:pStyle w:val="BodyText"/>
        <w:ind w:right="4681"/>
      </w:pPr>
      <w:r>
        <w:rPr/>
        <w:t>American</w:t>
      </w:r>
      <w:r>
        <w:rPr>
          <w:spacing w:val="-15"/>
        </w:rPr>
        <w:t> </w:t>
      </w:r>
      <w:r>
        <w:rPr/>
        <w:t>Association</w:t>
      </w:r>
      <w:r>
        <w:rPr>
          <w:spacing w:val="-11"/>
        </w:rPr>
        <w:t> </w:t>
      </w:r>
      <w:r>
        <w:rPr/>
        <w:t>on</w:t>
      </w:r>
      <w:r>
        <w:rPr>
          <w:spacing w:val="-6"/>
        </w:rPr>
        <w:t> </w:t>
      </w:r>
      <w:r>
        <w:rPr/>
        <w:t>Health</w:t>
      </w:r>
      <w:r>
        <w:rPr>
          <w:spacing w:val="-8"/>
        </w:rPr>
        <w:t> </w:t>
      </w:r>
      <w:r>
        <w:rPr/>
        <w:t>and</w:t>
      </w:r>
      <w:r>
        <w:rPr>
          <w:spacing w:val="-8"/>
        </w:rPr>
        <w:t> </w:t>
      </w:r>
      <w:r>
        <w:rPr/>
        <w:t>Disability American</w:t>
      </w:r>
      <w:r>
        <w:rPr>
          <w:spacing w:val="-10"/>
        </w:rPr>
        <w:t> </w:t>
      </w:r>
      <w:r>
        <w:rPr/>
        <w:t>Congress</w:t>
      </w:r>
      <w:r>
        <w:rPr>
          <w:spacing w:val="-10"/>
        </w:rPr>
        <w:t> </w:t>
      </w:r>
      <w:r>
        <w:rPr/>
        <w:t>of</w:t>
      </w:r>
      <w:r>
        <w:rPr>
          <w:spacing w:val="-10"/>
        </w:rPr>
        <w:t> </w:t>
      </w:r>
      <w:r>
        <w:rPr/>
        <w:t>Rehabilitation</w:t>
      </w:r>
      <w:r>
        <w:rPr>
          <w:spacing w:val="-10"/>
        </w:rPr>
        <w:t> </w:t>
      </w:r>
      <w:r>
        <w:rPr/>
        <w:t>Medicine American Macular Degeneration Foundation American Music Therapy Association</w:t>
      </w:r>
    </w:p>
    <w:p>
      <w:pPr>
        <w:spacing w:after="0"/>
        <w:sectPr>
          <w:pgSz w:w="12240" w:h="15840"/>
          <w:pgMar w:header="0" w:footer="1012" w:top="1360" w:bottom="1200" w:left="1340" w:right="1320"/>
        </w:sectPr>
      </w:pPr>
    </w:p>
    <w:p>
      <w:pPr>
        <w:pStyle w:val="BodyText"/>
        <w:spacing w:before="79"/>
        <w:ind w:right="4681"/>
        <w:rPr>
          <w:b/>
          <w:i/>
        </w:rPr>
      </w:pPr>
      <w:r>
        <w:rPr/>
        <w:t>American Occupational Therapy Association American Physical Therapy Association American</w:t>
      </w:r>
      <w:r>
        <w:rPr>
          <w:spacing w:val="-15"/>
        </w:rPr>
        <w:t> </w:t>
      </w:r>
      <w:r>
        <w:rPr/>
        <w:t>Therapeutic</w:t>
      </w:r>
      <w:r>
        <w:rPr>
          <w:spacing w:val="-15"/>
        </w:rPr>
        <w:t> </w:t>
      </w:r>
      <w:r>
        <w:rPr/>
        <w:t>Recreation</w:t>
      </w:r>
      <w:r>
        <w:rPr>
          <w:spacing w:val="-15"/>
        </w:rPr>
        <w:t> </w:t>
      </w:r>
      <w:r>
        <w:rPr/>
        <w:t>Association </w:t>
      </w:r>
      <w:r>
        <w:rPr>
          <w:b/>
          <w:i/>
        </w:rPr>
        <w:t>Amputee Coalition*</w:t>
      </w:r>
    </w:p>
    <w:p>
      <w:pPr>
        <w:pStyle w:val="BodyText"/>
        <w:ind w:right="3515"/>
      </w:pPr>
      <w:r>
        <w:rPr/>
        <w:t>Association</w:t>
      </w:r>
      <w:r>
        <w:rPr>
          <w:spacing w:val="-15"/>
        </w:rPr>
        <w:t> </w:t>
      </w:r>
      <w:r>
        <w:rPr/>
        <w:t>of</w:t>
      </w:r>
      <w:r>
        <w:rPr>
          <w:spacing w:val="-15"/>
        </w:rPr>
        <w:t> </w:t>
      </w:r>
      <w:r>
        <w:rPr/>
        <w:t>Assistive</w:t>
      </w:r>
      <w:r>
        <w:rPr>
          <w:spacing w:val="-15"/>
        </w:rPr>
        <w:t> </w:t>
      </w:r>
      <w:r>
        <w:rPr/>
        <w:t>Technology</w:t>
      </w:r>
      <w:r>
        <w:rPr>
          <w:spacing w:val="-15"/>
        </w:rPr>
        <w:t> </w:t>
      </w:r>
      <w:r>
        <w:rPr/>
        <w:t>Act</w:t>
      </w:r>
      <w:r>
        <w:rPr>
          <w:spacing w:val="-15"/>
        </w:rPr>
        <w:t> </w:t>
      </w:r>
      <w:r>
        <w:rPr/>
        <w:t>Programs Association of Rehabilitation Nurses</w:t>
      </w:r>
    </w:p>
    <w:p>
      <w:pPr>
        <w:pStyle w:val="BodyText"/>
        <w:ind w:right="5692"/>
        <w:jc w:val="both"/>
      </w:pPr>
      <w:r>
        <w:rPr/>
        <w:t>Autistic</w:t>
      </w:r>
      <w:r>
        <w:rPr>
          <w:spacing w:val="-15"/>
        </w:rPr>
        <w:t> </w:t>
      </w:r>
      <w:r>
        <w:rPr/>
        <w:t>Women</w:t>
      </w:r>
      <w:r>
        <w:rPr>
          <w:spacing w:val="-15"/>
        </w:rPr>
        <w:t> </w:t>
      </w:r>
      <w:r>
        <w:rPr/>
        <w:t>&amp;</w:t>
      </w:r>
      <w:r>
        <w:rPr>
          <w:spacing w:val="-15"/>
        </w:rPr>
        <w:t> </w:t>
      </w:r>
      <w:r>
        <w:rPr/>
        <w:t>Nonbinary</w:t>
      </w:r>
      <w:r>
        <w:rPr>
          <w:spacing w:val="-15"/>
        </w:rPr>
        <w:t> </w:t>
      </w:r>
      <w:r>
        <w:rPr/>
        <w:t>Network The</w:t>
      </w:r>
      <w:r>
        <w:rPr>
          <w:spacing w:val="-3"/>
        </w:rPr>
        <w:t> </w:t>
      </w:r>
      <w:r>
        <w:rPr/>
        <w:t>Buoniconti</w:t>
      </w:r>
      <w:r>
        <w:rPr>
          <w:spacing w:val="-1"/>
        </w:rPr>
        <w:t> </w:t>
      </w:r>
      <w:r>
        <w:rPr/>
        <w:t>Fund</w:t>
      </w:r>
      <w:r>
        <w:rPr>
          <w:spacing w:val="-1"/>
        </w:rPr>
        <w:t> </w:t>
      </w:r>
      <w:r>
        <w:rPr/>
        <w:t>to</w:t>
      </w:r>
      <w:r>
        <w:rPr>
          <w:spacing w:val="-1"/>
        </w:rPr>
        <w:t> </w:t>
      </w:r>
      <w:r>
        <w:rPr/>
        <w:t>Cure</w:t>
      </w:r>
      <w:r>
        <w:rPr>
          <w:spacing w:val="-3"/>
        </w:rPr>
        <w:t> </w:t>
      </w:r>
      <w:r>
        <w:rPr/>
        <w:t>Paralysis Clinician Task Force</w:t>
      </w:r>
    </w:p>
    <w:p>
      <w:pPr>
        <w:pStyle w:val="BodyText"/>
        <w:jc w:val="both"/>
      </w:pPr>
      <w:r>
        <w:rPr/>
        <w:t>Child</w:t>
      </w:r>
      <w:r>
        <w:rPr>
          <w:spacing w:val="-1"/>
        </w:rPr>
        <w:t> </w:t>
      </w:r>
      <w:r>
        <w:rPr/>
        <w:t>Neurology</w:t>
      </w:r>
      <w:r>
        <w:rPr>
          <w:spacing w:val="-1"/>
        </w:rPr>
        <w:t> </w:t>
      </w:r>
      <w:r>
        <w:rPr>
          <w:spacing w:val="-2"/>
        </w:rPr>
        <w:t>Foundation</w:t>
      </w:r>
    </w:p>
    <w:p>
      <w:pPr>
        <w:pStyle w:val="Heading2"/>
        <w:rPr>
          <w:i/>
        </w:rPr>
      </w:pPr>
      <w:r>
        <w:rPr>
          <w:i/>
        </w:rPr>
        <w:t>Christopher</w:t>
      </w:r>
      <w:r>
        <w:rPr>
          <w:i/>
          <w:spacing w:val="-5"/>
        </w:rPr>
        <w:t> </w:t>
      </w:r>
      <w:r>
        <w:rPr>
          <w:i/>
        </w:rPr>
        <w:t>&amp;</w:t>
      </w:r>
      <w:r>
        <w:rPr>
          <w:i/>
          <w:spacing w:val="-2"/>
        </w:rPr>
        <w:t> </w:t>
      </w:r>
      <w:r>
        <w:rPr>
          <w:i/>
        </w:rPr>
        <w:t>Dana</w:t>
      </w:r>
      <w:r>
        <w:rPr>
          <w:i/>
          <w:spacing w:val="-2"/>
        </w:rPr>
        <w:t> </w:t>
      </w:r>
      <w:r>
        <w:rPr>
          <w:i/>
        </w:rPr>
        <w:t>Reeve</w:t>
      </w:r>
      <w:r>
        <w:rPr>
          <w:i/>
          <w:spacing w:val="-3"/>
        </w:rPr>
        <w:t> </w:t>
      </w:r>
      <w:r>
        <w:rPr>
          <w:i/>
          <w:spacing w:val="-2"/>
        </w:rPr>
        <w:t>Foundation*</w:t>
      </w:r>
    </w:p>
    <w:p>
      <w:pPr>
        <w:pStyle w:val="BodyText"/>
        <w:ind w:right="6961"/>
      </w:pPr>
      <w:r>
        <w:rPr/>
        <w:t>CureLGMD2i</w:t>
      </w:r>
      <w:r>
        <w:rPr>
          <w:spacing w:val="-15"/>
        </w:rPr>
        <w:t> </w:t>
      </w:r>
      <w:r>
        <w:rPr/>
        <w:t>Foundation Cure SMA</w:t>
      </w:r>
    </w:p>
    <w:p>
      <w:pPr>
        <w:pStyle w:val="BodyText"/>
        <w:spacing w:before="1"/>
      </w:pPr>
      <w:r>
        <w:rPr>
          <w:spacing w:val="-5"/>
        </w:rPr>
        <w:t>3DA</w:t>
      </w:r>
    </w:p>
    <w:p>
      <w:pPr>
        <w:pStyle w:val="BodyText"/>
      </w:pPr>
      <w:r>
        <w:rPr/>
        <w:t>Epilepsy</w:t>
      </w:r>
      <w:r>
        <w:rPr>
          <w:spacing w:val="-2"/>
        </w:rPr>
        <w:t> </w:t>
      </w:r>
      <w:r>
        <w:rPr/>
        <w:t>Foundation</w:t>
      </w:r>
      <w:r>
        <w:rPr>
          <w:spacing w:val="-1"/>
        </w:rPr>
        <w:t> </w:t>
      </w:r>
      <w:r>
        <w:rPr/>
        <w:t>of</w:t>
      </w:r>
      <w:r>
        <w:rPr>
          <w:spacing w:val="-13"/>
        </w:rPr>
        <w:t> </w:t>
      </w:r>
      <w:r>
        <w:rPr>
          <w:spacing w:val="-2"/>
        </w:rPr>
        <w:t>America</w:t>
      </w:r>
    </w:p>
    <w:p>
      <w:pPr>
        <w:pStyle w:val="BodyText"/>
      </w:pPr>
      <w:r>
        <w:rPr/>
        <w:t>Institute</w:t>
      </w:r>
      <w:r>
        <w:rPr>
          <w:spacing w:val="-2"/>
        </w:rPr>
        <w:t> </w:t>
      </w:r>
      <w:r>
        <w:rPr/>
        <w:t>for</w:t>
      </w:r>
      <w:r>
        <w:rPr>
          <w:spacing w:val="-3"/>
        </w:rPr>
        <w:t> </w:t>
      </w:r>
      <w:r>
        <w:rPr/>
        <w:t>Matching</w:t>
      </w:r>
      <w:r>
        <w:rPr>
          <w:spacing w:val="-1"/>
        </w:rPr>
        <w:t> </w:t>
      </w:r>
      <w:r>
        <w:rPr/>
        <w:t>Person</w:t>
      </w:r>
      <w:r>
        <w:rPr>
          <w:spacing w:val="-1"/>
        </w:rPr>
        <w:t> </w:t>
      </w:r>
      <w:r>
        <w:rPr/>
        <w:t>and</w:t>
      </w:r>
      <w:r>
        <w:rPr>
          <w:spacing w:val="-5"/>
        </w:rPr>
        <w:t> </w:t>
      </w:r>
      <w:r>
        <w:rPr>
          <w:spacing w:val="-2"/>
        </w:rPr>
        <w:t>Technology</w:t>
      </w:r>
    </w:p>
    <w:p>
      <w:pPr>
        <w:pStyle w:val="BodyText"/>
        <w:ind w:right="2612"/>
      </w:pPr>
      <w:r>
        <w:rPr/>
        <w:t>International</w:t>
      </w:r>
      <w:r>
        <w:rPr>
          <w:spacing w:val="-13"/>
        </w:rPr>
        <w:t> </w:t>
      </w:r>
      <w:r>
        <w:rPr/>
        <w:t>Registry</w:t>
      </w:r>
      <w:r>
        <w:rPr>
          <w:spacing w:val="-12"/>
        </w:rPr>
        <w:t> </w:t>
      </w:r>
      <w:r>
        <w:rPr/>
        <w:t>of</w:t>
      </w:r>
      <w:r>
        <w:rPr>
          <w:spacing w:val="-12"/>
        </w:rPr>
        <w:t> </w:t>
      </w:r>
      <w:r>
        <w:rPr/>
        <w:t>Rehabilitation</w:t>
      </w:r>
      <w:r>
        <w:rPr>
          <w:spacing w:val="-15"/>
        </w:rPr>
        <w:t> </w:t>
      </w:r>
      <w:r>
        <w:rPr/>
        <w:t>Technology</w:t>
      </w:r>
      <w:r>
        <w:rPr>
          <w:spacing w:val="-12"/>
        </w:rPr>
        <w:t> </w:t>
      </w:r>
      <w:r>
        <w:rPr/>
        <w:t>Suppliers Lakeshore Foundation</w:t>
      </w:r>
    </w:p>
    <w:p>
      <w:pPr>
        <w:pStyle w:val="BodyText"/>
        <w:ind w:right="5080"/>
      </w:pPr>
      <w:r>
        <w:rPr/>
        <w:t>Long</w:t>
      </w:r>
      <w:r>
        <w:rPr>
          <w:spacing w:val="-9"/>
        </w:rPr>
        <w:t> </w:t>
      </w:r>
      <w:r>
        <w:rPr/>
        <w:t>Island</w:t>
      </w:r>
      <w:r>
        <w:rPr>
          <w:spacing w:val="-9"/>
        </w:rPr>
        <w:t> </w:t>
      </w:r>
      <w:r>
        <w:rPr/>
        <w:t>Center</w:t>
      </w:r>
      <w:r>
        <w:rPr>
          <w:spacing w:val="-10"/>
        </w:rPr>
        <w:t> </w:t>
      </w:r>
      <w:r>
        <w:rPr/>
        <w:t>for</w:t>
      </w:r>
      <w:r>
        <w:rPr>
          <w:spacing w:val="-8"/>
        </w:rPr>
        <w:t> </w:t>
      </w:r>
      <w:r>
        <w:rPr/>
        <w:t>Independent</w:t>
      </w:r>
      <w:r>
        <w:rPr>
          <w:spacing w:val="-9"/>
        </w:rPr>
        <w:t> </w:t>
      </w:r>
      <w:r>
        <w:rPr/>
        <w:t>Living The Miami Project to Cure Paralysis Muscular Dystrophy Association</w:t>
      </w:r>
    </w:p>
    <w:p>
      <w:pPr>
        <w:pStyle w:val="BodyText"/>
        <w:ind w:right="2612"/>
      </w:pPr>
      <w:r>
        <w:rPr/>
        <w:t>National</w:t>
      </w:r>
      <w:r>
        <w:rPr>
          <w:spacing w:val="-15"/>
        </w:rPr>
        <w:t> </w:t>
      </w:r>
      <w:r>
        <w:rPr/>
        <w:t>Association</w:t>
      </w:r>
      <w:r>
        <w:rPr>
          <w:spacing w:val="-13"/>
        </w:rPr>
        <w:t> </w:t>
      </w:r>
      <w:r>
        <w:rPr/>
        <w:t>for</w:t>
      </w:r>
      <w:r>
        <w:rPr>
          <w:spacing w:val="-4"/>
        </w:rPr>
        <w:t> </w:t>
      </w:r>
      <w:r>
        <w:rPr/>
        <w:t>the</w:t>
      </w:r>
      <w:r>
        <w:rPr>
          <w:spacing w:val="-15"/>
        </w:rPr>
        <w:t> </w:t>
      </w:r>
      <w:r>
        <w:rPr/>
        <w:t>Advancement</w:t>
      </w:r>
      <w:r>
        <w:rPr>
          <w:spacing w:val="-6"/>
        </w:rPr>
        <w:t> </w:t>
      </w:r>
      <w:r>
        <w:rPr/>
        <w:t>of</w:t>
      </w:r>
      <w:r>
        <w:rPr>
          <w:spacing w:val="-5"/>
        </w:rPr>
        <w:t> </w:t>
      </w:r>
      <w:r>
        <w:rPr/>
        <w:t>Orthotics</w:t>
      </w:r>
      <w:r>
        <w:rPr>
          <w:spacing w:val="-6"/>
        </w:rPr>
        <w:t> </w:t>
      </w:r>
      <w:r>
        <w:rPr/>
        <w:t>and</w:t>
      </w:r>
      <w:r>
        <w:rPr>
          <w:spacing w:val="-6"/>
        </w:rPr>
        <w:t> </w:t>
      </w:r>
      <w:r>
        <w:rPr/>
        <w:t>Prosthetics National Multiple Sclerosis Society</w:t>
      </w:r>
    </w:p>
    <w:p>
      <w:pPr>
        <w:pStyle w:val="BodyText"/>
      </w:pPr>
      <w:r>
        <w:rPr>
          <w:spacing w:val="-2"/>
        </w:rPr>
        <w:t>NCART</w:t>
      </w:r>
    </w:p>
    <w:p>
      <w:pPr>
        <w:pStyle w:val="BodyText"/>
        <w:spacing w:before="1"/>
      </w:pPr>
      <w:r>
        <w:rPr/>
        <w:t>Rifton </w:t>
      </w:r>
      <w:r>
        <w:rPr>
          <w:spacing w:val="-2"/>
        </w:rPr>
        <w:t>Equipment</w:t>
      </w:r>
    </w:p>
    <w:p>
      <w:pPr>
        <w:pStyle w:val="Heading2"/>
        <w:ind w:right="6396"/>
      </w:pPr>
      <w:r>
        <w:rPr>
          <w:i/>
        </w:rPr>
        <w:t>Spina</w:t>
      </w:r>
      <w:r>
        <w:rPr>
          <w:i/>
          <w:spacing w:val="-15"/>
        </w:rPr>
        <w:t> </w:t>
      </w:r>
      <w:r>
        <w:rPr>
          <w:i/>
        </w:rPr>
        <w:t>Bifida</w:t>
      </w:r>
      <w:r>
        <w:rPr>
          <w:i/>
          <w:spacing w:val="-15"/>
        </w:rPr>
        <w:t> </w:t>
      </w:r>
      <w:r>
        <w:rPr>
          <w:i/>
        </w:rPr>
        <w:t>Association*</w:t>
      </w:r>
      <w:r>
        <w:rPr/>
        <w:t> Team Gleason*</w:t>
      </w:r>
    </w:p>
    <w:p>
      <w:pPr>
        <w:pStyle w:val="BodyText"/>
        <w:ind w:right="6961"/>
      </w:pPr>
      <w:r>
        <w:rPr/>
        <w:t>The Viscardi Center United</w:t>
      </w:r>
      <w:r>
        <w:rPr>
          <w:spacing w:val="-15"/>
        </w:rPr>
        <w:t> </w:t>
      </w:r>
      <w:r>
        <w:rPr/>
        <w:t>Cerebral</w:t>
      </w:r>
      <w:r>
        <w:rPr>
          <w:spacing w:val="-15"/>
        </w:rPr>
        <w:t> </w:t>
      </w:r>
      <w:r>
        <w:rPr/>
        <w:t>Palsy</w:t>
      </w:r>
    </w:p>
    <w:p>
      <w:pPr>
        <w:spacing w:before="0"/>
        <w:ind w:left="100" w:right="0" w:firstLine="0"/>
        <w:jc w:val="left"/>
        <w:rPr>
          <w:b/>
          <w:i/>
          <w:sz w:val="24"/>
        </w:rPr>
      </w:pPr>
      <w:r>
        <w:rPr>
          <w:b/>
          <w:i/>
          <w:sz w:val="24"/>
        </w:rPr>
        <w:t>United Spinal</w:t>
      </w:r>
      <w:r>
        <w:rPr>
          <w:b/>
          <w:i/>
          <w:spacing w:val="-10"/>
          <w:sz w:val="24"/>
        </w:rPr>
        <w:t> </w:t>
      </w:r>
      <w:r>
        <w:rPr>
          <w:b/>
          <w:i/>
          <w:spacing w:val="-2"/>
          <w:sz w:val="24"/>
        </w:rPr>
        <w:t>Association*</w:t>
      </w:r>
    </w:p>
    <w:p>
      <w:pPr>
        <w:pStyle w:val="BodyText"/>
        <w:ind w:left="0"/>
        <w:rPr>
          <w:b/>
          <w:i/>
        </w:rPr>
      </w:pPr>
    </w:p>
    <w:p>
      <w:pPr>
        <w:pStyle w:val="BodyText"/>
        <w:spacing w:before="43"/>
        <w:ind w:left="0"/>
        <w:rPr>
          <w:b/>
          <w:i/>
        </w:rPr>
      </w:pPr>
    </w:p>
    <w:p>
      <w:pPr>
        <w:spacing w:before="0"/>
        <w:ind w:left="100" w:right="0" w:firstLine="0"/>
        <w:jc w:val="left"/>
        <w:rPr>
          <w:b/>
          <w:i/>
          <w:sz w:val="24"/>
        </w:rPr>
      </w:pPr>
      <w:r>
        <w:rPr>
          <w:b/>
          <w:i/>
          <w:sz w:val="24"/>
        </w:rPr>
        <w:t>*Indicates</w:t>
      </w:r>
      <w:r>
        <w:rPr>
          <w:b/>
          <w:i/>
          <w:spacing w:val="-2"/>
          <w:sz w:val="24"/>
        </w:rPr>
        <w:t> </w:t>
      </w:r>
      <w:r>
        <w:rPr>
          <w:b/>
          <w:i/>
          <w:sz w:val="24"/>
        </w:rPr>
        <w:t>ITEM</w:t>
      </w:r>
      <w:r>
        <w:rPr>
          <w:b/>
          <w:i/>
          <w:spacing w:val="-2"/>
          <w:sz w:val="24"/>
        </w:rPr>
        <w:t> </w:t>
      </w:r>
      <w:r>
        <w:rPr>
          <w:b/>
          <w:i/>
          <w:sz w:val="24"/>
        </w:rPr>
        <w:t>Coalition</w:t>
      </w:r>
      <w:r>
        <w:rPr>
          <w:b/>
          <w:i/>
          <w:spacing w:val="-2"/>
          <w:sz w:val="24"/>
        </w:rPr>
        <w:t> </w:t>
      </w:r>
      <w:r>
        <w:rPr>
          <w:b/>
          <w:i/>
          <w:sz w:val="24"/>
        </w:rPr>
        <w:t>Steering</w:t>
      </w:r>
      <w:r>
        <w:rPr>
          <w:b/>
          <w:i/>
          <w:spacing w:val="-2"/>
          <w:sz w:val="24"/>
        </w:rPr>
        <w:t> </w:t>
      </w:r>
      <w:r>
        <w:rPr>
          <w:b/>
          <w:i/>
          <w:sz w:val="24"/>
        </w:rPr>
        <w:t>Committee</w:t>
      </w:r>
      <w:r>
        <w:rPr>
          <w:b/>
          <w:i/>
          <w:spacing w:val="-2"/>
          <w:sz w:val="24"/>
        </w:rPr>
        <w:t> Member</w:t>
      </w:r>
    </w:p>
    <w:sectPr>
      <w:pgSz w:w="12240" w:h="15840"/>
      <w:pgMar w:header="0" w:footer="1012" w:top="1360" w:bottom="120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21792">
              <wp:simplePos x="0" y="0"/>
              <wp:positionH relativeFrom="page">
                <wp:posOffset>5866638</wp:posOffset>
              </wp:positionH>
              <wp:positionV relativeFrom="page">
                <wp:posOffset>9276080</wp:posOffset>
              </wp:positionV>
              <wp:extent cx="1044575"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044575" cy="165735"/>
                      </a:xfrm>
                      <a:prstGeom prst="rect">
                        <a:avLst/>
                      </a:prstGeom>
                    </wps:spPr>
                    <wps:txbx>
                      <w:txbxContent>
                        <w:p>
                          <w:pPr>
                            <w:spacing w:line="245" w:lineRule="exact" w:before="0"/>
                            <w:ind w:left="20" w:right="0" w:firstLine="0"/>
                            <w:jc w:val="left"/>
                            <w:rPr>
                              <w:rFonts w:ascii="Calibri"/>
                              <w:sz w:val="22"/>
                            </w:rPr>
                          </w:pPr>
                          <w:r>
                            <w:rPr>
                              <w:rFonts w:ascii="Calibri"/>
                              <w:sz w:val="16"/>
                            </w:rPr>
                            <w:t>{D1157945.DOCX</w:t>
                          </w:r>
                          <w:r>
                            <w:rPr>
                              <w:rFonts w:ascii="Calibri"/>
                              <w:spacing w:val="-8"/>
                              <w:sz w:val="16"/>
                            </w:rPr>
                            <w:t> </w:t>
                          </w:r>
                          <w:r>
                            <w:rPr>
                              <w:rFonts w:ascii="Calibri"/>
                              <w:sz w:val="16"/>
                            </w:rPr>
                            <w:t>/</w:t>
                          </w:r>
                          <w:r>
                            <w:rPr>
                              <w:rFonts w:ascii="Calibri"/>
                              <w:spacing w:val="-3"/>
                              <w:sz w:val="16"/>
                            </w:rPr>
                            <w:t> </w:t>
                          </w:r>
                          <w:r>
                            <w:rPr>
                              <w:rFonts w:ascii="Calibri"/>
                              <w:sz w:val="16"/>
                            </w:rPr>
                            <w:t>1</w:t>
                          </w:r>
                          <w:r>
                            <w:rPr>
                              <w:rFonts w:ascii="Calibri"/>
                              <w:spacing w:val="-2"/>
                              <w:sz w:val="16"/>
                            </w:rPr>
                            <w:t> </w:t>
                          </w:r>
                          <w:r>
                            <w:rPr>
                              <w:rFonts w:ascii="Calibri"/>
                              <w:spacing w:val="-5"/>
                              <w:sz w:val="16"/>
                            </w:rPr>
                            <w:t>}</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61.940002pt;margin-top:730.400024pt;width:82.25pt;height:13.05pt;mso-position-horizontal-relative:page;mso-position-vertical-relative:page;z-index:-15794688" type="#_x0000_t202" id="docshape2" filled="false" stroked="false">
              <v:textbox inset="0,0,0,0">
                <w:txbxContent>
                  <w:p>
                    <w:pPr>
                      <w:spacing w:line="245" w:lineRule="exact" w:before="0"/>
                      <w:ind w:left="20" w:right="0" w:firstLine="0"/>
                      <w:jc w:val="left"/>
                      <w:rPr>
                        <w:rFonts w:ascii="Calibri"/>
                        <w:sz w:val="22"/>
                      </w:rPr>
                    </w:pPr>
                    <w:r>
                      <w:rPr>
                        <w:rFonts w:ascii="Calibri"/>
                        <w:sz w:val="16"/>
                      </w:rPr>
                      <w:t>{D1157945.DOCX</w:t>
                    </w:r>
                    <w:r>
                      <w:rPr>
                        <w:rFonts w:ascii="Calibri"/>
                        <w:spacing w:val="-8"/>
                        <w:sz w:val="16"/>
                      </w:rPr>
                      <w:t> </w:t>
                    </w:r>
                    <w:r>
                      <w:rPr>
                        <w:rFonts w:ascii="Calibri"/>
                        <w:sz w:val="16"/>
                      </w:rPr>
                      <w:t>/</w:t>
                    </w:r>
                    <w:r>
                      <w:rPr>
                        <w:rFonts w:ascii="Calibri"/>
                        <w:spacing w:val="-3"/>
                        <w:sz w:val="16"/>
                      </w:rPr>
                      <w:t> </w:t>
                    </w:r>
                    <w:r>
                      <w:rPr>
                        <w:rFonts w:ascii="Calibri"/>
                        <w:sz w:val="16"/>
                      </w:rPr>
                      <w:t>1</w:t>
                    </w:r>
                    <w:r>
                      <w:rPr>
                        <w:rFonts w:ascii="Calibri"/>
                        <w:spacing w:val="-2"/>
                        <w:sz w:val="16"/>
                      </w:rPr>
                      <w:t> </w:t>
                    </w:r>
                    <w:r>
                      <w:rPr>
                        <w:rFonts w:ascii="Calibri"/>
                        <w:spacing w:val="-5"/>
                        <w:sz w:val="16"/>
                      </w:rPr>
                      <w:t>}</w:t>
                    </w: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w:t>
                    </w:r>
                    <w:r>
                      <w:rPr>
                        <w:rFonts w:ascii="Calibri"/>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540" w:hanging="34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344" w:hanging="341"/>
      </w:pPr>
      <w:rPr>
        <w:rFonts w:hint="default"/>
        <w:lang w:val="en-US" w:eastAsia="en-US" w:bidi="ar-SA"/>
      </w:rPr>
    </w:lvl>
    <w:lvl w:ilvl="2">
      <w:start w:val="0"/>
      <w:numFmt w:val="bullet"/>
      <w:lvlText w:val="•"/>
      <w:lvlJc w:val="left"/>
      <w:pPr>
        <w:ind w:left="3148" w:hanging="341"/>
      </w:pPr>
      <w:rPr>
        <w:rFonts w:hint="default"/>
        <w:lang w:val="en-US" w:eastAsia="en-US" w:bidi="ar-SA"/>
      </w:rPr>
    </w:lvl>
    <w:lvl w:ilvl="3">
      <w:start w:val="0"/>
      <w:numFmt w:val="bullet"/>
      <w:lvlText w:val="•"/>
      <w:lvlJc w:val="left"/>
      <w:pPr>
        <w:ind w:left="3952" w:hanging="341"/>
      </w:pPr>
      <w:rPr>
        <w:rFonts w:hint="default"/>
        <w:lang w:val="en-US" w:eastAsia="en-US" w:bidi="ar-SA"/>
      </w:rPr>
    </w:lvl>
    <w:lvl w:ilvl="4">
      <w:start w:val="0"/>
      <w:numFmt w:val="bullet"/>
      <w:lvlText w:val="•"/>
      <w:lvlJc w:val="left"/>
      <w:pPr>
        <w:ind w:left="4756" w:hanging="341"/>
      </w:pPr>
      <w:rPr>
        <w:rFonts w:hint="default"/>
        <w:lang w:val="en-US" w:eastAsia="en-US" w:bidi="ar-SA"/>
      </w:rPr>
    </w:lvl>
    <w:lvl w:ilvl="5">
      <w:start w:val="0"/>
      <w:numFmt w:val="bullet"/>
      <w:lvlText w:val="•"/>
      <w:lvlJc w:val="left"/>
      <w:pPr>
        <w:ind w:left="5560" w:hanging="341"/>
      </w:pPr>
      <w:rPr>
        <w:rFonts w:hint="default"/>
        <w:lang w:val="en-US" w:eastAsia="en-US" w:bidi="ar-SA"/>
      </w:rPr>
    </w:lvl>
    <w:lvl w:ilvl="6">
      <w:start w:val="0"/>
      <w:numFmt w:val="bullet"/>
      <w:lvlText w:val="•"/>
      <w:lvlJc w:val="left"/>
      <w:pPr>
        <w:ind w:left="6364" w:hanging="341"/>
      </w:pPr>
      <w:rPr>
        <w:rFonts w:hint="default"/>
        <w:lang w:val="en-US" w:eastAsia="en-US" w:bidi="ar-SA"/>
      </w:rPr>
    </w:lvl>
    <w:lvl w:ilvl="7">
      <w:start w:val="0"/>
      <w:numFmt w:val="bullet"/>
      <w:lvlText w:val="•"/>
      <w:lvlJc w:val="left"/>
      <w:pPr>
        <w:ind w:left="7168" w:hanging="341"/>
      </w:pPr>
      <w:rPr>
        <w:rFonts w:hint="default"/>
        <w:lang w:val="en-US" w:eastAsia="en-US" w:bidi="ar-SA"/>
      </w:rPr>
    </w:lvl>
    <w:lvl w:ilvl="8">
      <w:start w:val="0"/>
      <w:numFmt w:val="bullet"/>
      <w:lvlText w:val="•"/>
      <w:lvlJc w:val="left"/>
      <w:pPr>
        <w:ind w:left="7972" w:hanging="341"/>
      </w:pPr>
      <w:rPr>
        <w:rFonts w:hint="default"/>
        <w:lang w:val="en-US" w:eastAsia="en-US" w:bidi="ar-SA"/>
      </w:rPr>
    </w:lvl>
  </w:abstractNum>
  <w:abstractNum w:abstractNumId="0">
    <w:multiLevelType w:val="hybridMultilevel"/>
    <w:lvl w:ilvl="0">
      <w:start w:val="0"/>
      <w:numFmt w:val="bullet"/>
      <w:lvlText w:val=""/>
      <w:lvlJc w:val="left"/>
      <w:pPr>
        <w:ind w:left="82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1540"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433" w:hanging="360"/>
      </w:pPr>
      <w:rPr>
        <w:rFonts w:hint="default"/>
        <w:lang w:val="en-US" w:eastAsia="en-US" w:bidi="ar-SA"/>
      </w:rPr>
    </w:lvl>
    <w:lvl w:ilvl="3">
      <w:start w:val="0"/>
      <w:numFmt w:val="bullet"/>
      <w:lvlText w:val="•"/>
      <w:lvlJc w:val="left"/>
      <w:pPr>
        <w:ind w:left="3326" w:hanging="360"/>
      </w:pPr>
      <w:rPr>
        <w:rFonts w:hint="default"/>
        <w:lang w:val="en-US" w:eastAsia="en-US" w:bidi="ar-SA"/>
      </w:rPr>
    </w:lvl>
    <w:lvl w:ilvl="4">
      <w:start w:val="0"/>
      <w:numFmt w:val="bullet"/>
      <w:lvlText w:val="•"/>
      <w:lvlJc w:val="left"/>
      <w:pPr>
        <w:ind w:left="4220" w:hanging="360"/>
      </w:pPr>
      <w:rPr>
        <w:rFonts w:hint="default"/>
        <w:lang w:val="en-US" w:eastAsia="en-US" w:bidi="ar-SA"/>
      </w:rPr>
    </w:lvl>
    <w:lvl w:ilvl="5">
      <w:start w:val="0"/>
      <w:numFmt w:val="bullet"/>
      <w:lvlText w:val="•"/>
      <w:lvlJc w:val="left"/>
      <w:pPr>
        <w:ind w:left="5113" w:hanging="360"/>
      </w:pPr>
      <w:rPr>
        <w:rFonts w:hint="default"/>
        <w:lang w:val="en-US" w:eastAsia="en-US" w:bidi="ar-SA"/>
      </w:rPr>
    </w:lvl>
    <w:lvl w:ilvl="6">
      <w:start w:val="0"/>
      <w:numFmt w:val="bullet"/>
      <w:lvlText w:val="•"/>
      <w:lvlJc w:val="left"/>
      <w:pPr>
        <w:ind w:left="6006" w:hanging="360"/>
      </w:pPr>
      <w:rPr>
        <w:rFonts w:hint="default"/>
        <w:lang w:val="en-US" w:eastAsia="en-US" w:bidi="ar-SA"/>
      </w:rPr>
    </w:lvl>
    <w:lvl w:ilvl="7">
      <w:start w:val="0"/>
      <w:numFmt w:val="bullet"/>
      <w:lvlText w:val="•"/>
      <w:lvlJc w:val="left"/>
      <w:pPr>
        <w:ind w:left="6900" w:hanging="360"/>
      </w:pPr>
      <w:rPr>
        <w:rFonts w:hint="default"/>
        <w:lang w:val="en-US" w:eastAsia="en-US" w:bidi="ar-SA"/>
      </w:rPr>
    </w:lvl>
    <w:lvl w:ilvl="8">
      <w:start w:val="0"/>
      <w:numFmt w:val="bullet"/>
      <w:lvlText w:val="•"/>
      <w:lvlJc w:val="left"/>
      <w:pPr>
        <w:ind w:left="7793"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161"/>
      <w:ind w:left="100"/>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100"/>
      <w:outlineLvl w:val="2"/>
    </w:pPr>
    <w:rPr>
      <w:rFonts w:ascii="Times New Roman" w:hAnsi="Times New Roman" w:eastAsia="Times New Roman" w:cs="Times New Roman"/>
      <w:b/>
      <w:bCs/>
      <w:i/>
      <w:iCs/>
      <w:sz w:val="24"/>
      <w:szCs w:val="24"/>
      <w:lang w:val="en-US" w:eastAsia="en-US" w:bidi="ar-SA"/>
    </w:rPr>
  </w:style>
  <w:style w:styleId="ListParagraph" w:type="paragraph">
    <w:name w:val="List Paragraph"/>
    <w:basedOn w:val="Normal"/>
    <w:uiPriority w:val="1"/>
    <w:qFormat/>
    <w:pPr>
      <w:spacing w:before="160"/>
      <w:ind w:left="82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cliniciantaskforce.us/resource/scope-of-practice-for-seating-and-wheeled-mobility-clinical-services" TargetMode="External"/><Relationship Id="rId7" Type="http://schemas.openxmlformats.org/officeDocument/2006/relationships/footer" Target="footer1.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Barnett, Michael</dc:creator>
  <dc:subject>D1157945.DOCX / 1 /font=8</dc:subject>
  <dc:title>ITEM Coalition Wheelchair Repairs and Maintenance Policy Recommendations (FINAL) (D1157945).DOCX</dc:title>
  <dcterms:created xsi:type="dcterms:W3CDTF">2025-02-02T22:41:46Z</dcterms:created>
  <dcterms:modified xsi:type="dcterms:W3CDTF">2025-02-02T22:41:46Z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2025-01-28T00:00:00Z</vt:filetime>
  </property>
  <property fmtid="{D5CDD505-2E9C-101B-9397-08002B2CF9AE}" pid="3" name="Creator">
    <vt:lpwstr>Microsoft® Word for Microsoft 365</vt:lpwstr>
  </property>
  <property fmtid="{D5CDD505-2E9C-101B-9397-08002B2CF9AE}" pid="4" name="LastSaved">
    <vt:filetime>2025-02-02T00:00:00Z</vt:filetime>
  </property>
  <property fmtid="{D5CDD505-2E9C-101B-9397-08002B2CF9AE}" pid="5" name="Producer">
    <vt:lpwstr>Microsoft® Word for Microsoft 365</vt:lpwstr>
  </property>
</Properties>
</file>