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15"/>
        <w:rPr>
          <w:rFonts w:ascii="Times New Roman"/>
          <w:sz w:val="20"/>
        </w:rPr>
      </w:pPr>
      <w:r>
        <w:rPr>
          <w:rFonts w:ascii="Times New Roman"/>
          <w:sz w:val="20"/>
        </w:rPr>
        <w:drawing>
          <wp:inline distT="0" distB="0" distL="0" distR="0">
            <wp:extent cx="2038349" cy="10763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038349" cy="1076325"/>
                    </a:xfrm>
                    <a:prstGeom prst="rect">
                      <a:avLst/>
                    </a:prstGeom>
                  </pic:spPr>
                </pic:pic>
              </a:graphicData>
            </a:graphic>
          </wp:inline>
        </w:drawing>
      </w:r>
      <w:r>
        <w:rPr>
          <w:rFonts w:ascii="Times New Roman"/>
          <w:sz w:val="20"/>
        </w:rPr>
      </w:r>
    </w:p>
    <w:p>
      <w:pPr>
        <w:pStyle w:val="BodyText"/>
        <w:spacing w:before="38"/>
        <w:ind w:left="136"/>
      </w:pPr>
      <w:r>
        <w:rPr/>
        <w:t>September</w:t>
      </w:r>
      <w:r>
        <w:rPr>
          <w:spacing w:val="-3"/>
        </w:rPr>
        <w:t> </w:t>
      </w:r>
      <w:r>
        <w:rPr/>
        <w:t>9,</w:t>
      </w:r>
      <w:r>
        <w:rPr>
          <w:spacing w:val="-3"/>
        </w:rPr>
        <w:t> </w:t>
      </w:r>
      <w:r>
        <w:rPr>
          <w:spacing w:val="-4"/>
        </w:rPr>
        <w:t>2024</w:t>
      </w:r>
    </w:p>
    <w:p>
      <w:pPr>
        <w:pStyle w:val="BodyText"/>
        <w:spacing w:before="77"/>
      </w:pPr>
    </w:p>
    <w:p>
      <w:pPr>
        <w:pStyle w:val="BodyText"/>
        <w:spacing w:line="276" w:lineRule="auto"/>
        <w:ind w:left="136" w:right="4451"/>
      </w:pPr>
      <w:r>
        <w:rPr/>
        <w:t>Senate</w:t>
      </w:r>
      <w:r>
        <w:rPr>
          <w:spacing w:val="-6"/>
        </w:rPr>
        <w:t> </w:t>
      </w:r>
      <w:r>
        <w:rPr/>
        <w:t>Health,</w:t>
      </w:r>
      <w:r>
        <w:rPr>
          <w:spacing w:val="-4"/>
        </w:rPr>
        <w:t> </w:t>
      </w:r>
      <w:r>
        <w:rPr/>
        <w:t>Education,</w:t>
      </w:r>
      <w:r>
        <w:rPr>
          <w:spacing w:val="-4"/>
        </w:rPr>
        <w:t> </w:t>
      </w:r>
      <w:r>
        <w:rPr/>
        <w:t>Labor</w:t>
      </w:r>
      <w:r>
        <w:rPr>
          <w:spacing w:val="-4"/>
        </w:rPr>
        <w:t> </w:t>
      </w:r>
      <w:r>
        <w:rPr/>
        <w:t>&amp;</w:t>
      </w:r>
      <w:r>
        <w:rPr>
          <w:spacing w:val="-8"/>
        </w:rPr>
        <w:t> </w:t>
      </w:r>
      <w:r>
        <w:rPr/>
        <w:t>Pensions</w:t>
      </w:r>
      <w:r>
        <w:rPr>
          <w:spacing w:val="-5"/>
        </w:rPr>
        <w:t> </w:t>
      </w:r>
      <w:r>
        <w:rPr/>
        <w:t>(HELP)</w:t>
      </w:r>
      <w:r>
        <w:rPr>
          <w:spacing w:val="-4"/>
        </w:rPr>
        <w:t> </w:t>
      </w:r>
      <w:r>
        <w:rPr/>
        <w:t>Committee 428 Dirksen Senate Office Building</w:t>
      </w:r>
    </w:p>
    <w:p>
      <w:pPr>
        <w:pStyle w:val="BodyText"/>
        <w:spacing w:line="252" w:lineRule="exact"/>
        <w:ind w:left="120"/>
      </w:pPr>
      <w:r>
        <w:rPr/>
        <w:t>Washington,</w:t>
      </w:r>
      <w:r>
        <w:rPr>
          <w:spacing w:val="-9"/>
        </w:rPr>
        <w:t> </w:t>
      </w:r>
      <w:r>
        <w:rPr/>
        <w:t>DC</w:t>
      </w:r>
      <w:r>
        <w:rPr>
          <w:spacing w:val="-9"/>
        </w:rPr>
        <w:t> </w:t>
      </w:r>
      <w:r>
        <w:rPr/>
        <w:t>20510-</w:t>
      </w:r>
      <w:r>
        <w:rPr>
          <w:spacing w:val="-4"/>
        </w:rPr>
        <w:t>6300</w:t>
      </w:r>
    </w:p>
    <w:p>
      <w:pPr>
        <w:pStyle w:val="BodyText"/>
        <w:spacing w:before="74"/>
      </w:pPr>
    </w:p>
    <w:p>
      <w:pPr>
        <w:pStyle w:val="BodyText"/>
        <w:ind w:left="120"/>
      </w:pPr>
      <w:r>
        <w:rPr/>
        <w:t>Dear</w:t>
      </w:r>
      <w:r>
        <w:rPr>
          <w:spacing w:val="-5"/>
        </w:rPr>
        <w:t> </w:t>
      </w:r>
      <w:r>
        <w:rPr/>
        <w:t>Chair</w:t>
      </w:r>
      <w:r>
        <w:rPr>
          <w:spacing w:val="-3"/>
        </w:rPr>
        <w:t> </w:t>
      </w:r>
      <w:r>
        <w:rPr/>
        <w:t>Sanders,</w:t>
      </w:r>
      <w:r>
        <w:rPr>
          <w:spacing w:val="-5"/>
        </w:rPr>
        <w:t> </w:t>
      </w:r>
      <w:r>
        <w:rPr/>
        <w:t>Ranking</w:t>
      </w:r>
      <w:r>
        <w:rPr>
          <w:spacing w:val="-4"/>
        </w:rPr>
        <w:t> </w:t>
      </w:r>
      <w:r>
        <w:rPr/>
        <w:t>Member</w:t>
      </w:r>
      <w:r>
        <w:rPr>
          <w:spacing w:val="-6"/>
        </w:rPr>
        <w:t> </w:t>
      </w:r>
      <w:r>
        <w:rPr/>
        <w:t>Cassidy,</w:t>
      </w:r>
      <w:r>
        <w:rPr>
          <w:spacing w:val="-7"/>
        </w:rPr>
        <w:t> </w:t>
      </w:r>
      <w:r>
        <w:rPr/>
        <w:t>and</w:t>
      </w:r>
      <w:r>
        <w:rPr>
          <w:spacing w:val="-5"/>
        </w:rPr>
        <w:t> </w:t>
      </w:r>
      <w:r>
        <w:rPr/>
        <w:t>all</w:t>
      </w:r>
      <w:r>
        <w:rPr>
          <w:spacing w:val="-5"/>
        </w:rPr>
        <w:t> </w:t>
      </w:r>
      <w:r>
        <w:rPr/>
        <w:t>Members</w:t>
      </w:r>
      <w:r>
        <w:rPr>
          <w:spacing w:val="-6"/>
        </w:rPr>
        <w:t> </w:t>
      </w:r>
      <w:r>
        <w:rPr/>
        <w:t>of</w:t>
      </w:r>
      <w:r>
        <w:rPr>
          <w:spacing w:val="-5"/>
        </w:rPr>
        <w:t> </w:t>
      </w:r>
      <w:r>
        <w:rPr/>
        <w:t>the</w:t>
      </w:r>
      <w:r>
        <w:rPr>
          <w:spacing w:val="-4"/>
        </w:rPr>
        <w:t> </w:t>
      </w:r>
      <w:r>
        <w:rPr/>
        <w:t>Senate</w:t>
      </w:r>
      <w:r>
        <w:rPr>
          <w:spacing w:val="-5"/>
        </w:rPr>
        <w:t> </w:t>
      </w:r>
      <w:r>
        <w:rPr/>
        <w:t>HELP</w:t>
      </w:r>
      <w:r>
        <w:rPr>
          <w:spacing w:val="-4"/>
        </w:rPr>
        <w:t> </w:t>
      </w:r>
      <w:r>
        <w:rPr>
          <w:spacing w:val="-2"/>
        </w:rPr>
        <w:t>Committee,</w:t>
      </w:r>
    </w:p>
    <w:p>
      <w:pPr>
        <w:pStyle w:val="BodyText"/>
        <w:spacing w:before="77"/>
      </w:pPr>
    </w:p>
    <w:p>
      <w:pPr>
        <w:pStyle w:val="BodyText"/>
        <w:spacing w:line="276" w:lineRule="auto" w:before="1"/>
        <w:ind w:left="124" w:right="99" w:hanging="3"/>
      </w:pPr>
      <w:r>
        <w:rPr/>
        <w:t>The Consortium for Constituents with Disabilities (CCD) Employment and Training Task Force is pleased to continue</w:t>
      </w:r>
      <w:r>
        <w:rPr>
          <w:spacing w:val="-3"/>
        </w:rPr>
        <w:t> </w:t>
      </w:r>
      <w:r>
        <w:rPr/>
        <w:t>supporting</w:t>
      </w:r>
      <w:r>
        <w:rPr>
          <w:spacing w:val="-5"/>
        </w:rPr>
        <w:t> </w:t>
      </w:r>
      <w:r>
        <w:rPr/>
        <w:t>the</w:t>
      </w:r>
      <w:r>
        <w:rPr>
          <w:spacing w:val="-5"/>
        </w:rPr>
        <w:t> </w:t>
      </w:r>
      <w:r>
        <w:rPr/>
        <w:t>Transformation</w:t>
      </w:r>
      <w:r>
        <w:rPr>
          <w:spacing w:val="-5"/>
        </w:rPr>
        <w:t> </w:t>
      </w:r>
      <w:r>
        <w:rPr/>
        <w:t>to</w:t>
      </w:r>
      <w:r>
        <w:rPr>
          <w:spacing w:val="-3"/>
        </w:rPr>
        <w:t> </w:t>
      </w:r>
      <w:r>
        <w:rPr/>
        <w:t>Competitive</w:t>
      </w:r>
      <w:r>
        <w:rPr>
          <w:spacing w:val="-5"/>
        </w:rPr>
        <w:t> </w:t>
      </w:r>
      <w:r>
        <w:rPr/>
        <w:t>Integrated</w:t>
      </w:r>
      <w:r>
        <w:rPr>
          <w:spacing w:val="-5"/>
        </w:rPr>
        <w:t> </w:t>
      </w:r>
      <w:r>
        <w:rPr/>
        <w:t>Employment</w:t>
      </w:r>
      <w:r>
        <w:rPr>
          <w:spacing w:val="-3"/>
        </w:rPr>
        <w:t> </w:t>
      </w:r>
      <w:r>
        <w:rPr/>
        <w:t>Act</w:t>
      </w:r>
      <w:r>
        <w:rPr>
          <w:spacing w:val="-3"/>
        </w:rPr>
        <w:t> </w:t>
      </w:r>
      <w:r>
        <w:rPr/>
        <w:t>(TCIEA,</w:t>
      </w:r>
      <w:r>
        <w:rPr>
          <w:spacing w:val="-1"/>
        </w:rPr>
        <w:t> </w:t>
      </w:r>
      <w:r>
        <w:rPr/>
        <w:t>S.</w:t>
      </w:r>
      <w:r>
        <w:rPr>
          <w:spacing w:val="-1"/>
        </w:rPr>
        <w:t> </w:t>
      </w:r>
      <w:r>
        <w:rPr/>
        <w:t>533).</w:t>
      </w:r>
      <w:r>
        <w:rPr>
          <w:spacing w:val="-3"/>
        </w:rPr>
        <w:t> </w:t>
      </w:r>
      <w:r>
        <w:rPr/>
        <w:t>Further, we urge the HELP Committee to both include TCIEA in its broader workforce development package and ensure TCIEA’s passage this congressional session.</w:t>
      </w:r>
    </w:p>
    <w:p>
      <w:pPr>
        <w:pStyle w:val="BodyText"/>
        <w:spacing w:before="37"/>
      </w:pPr>
    </w:p>
    <w:p>
      <w:pPr>
        <w:pStyle w:val="BodyText"/>
        <w:spacing w:line="276" w:lineRule="auto"/>
        <w:ind w:left="124" w:hanging="3"/>
      </w:pPr>
      <w:r>
        <w:rPr/>
        <w:t>CCD is a coalition of national rights, advocacy, consumer, provider, and self-advocates organizations representing</w:t>
      </w:r>
      <w:r>
        <w:rPr>
          <w:spacing w:val="-3"/>
        </w:rPr>
        <w:t> </w:t>
      </w:r>
      <w:r>
        <w:rPr/>
        <w:t>the</w:t>
      </w:r>
      <w:r>
        <w:rPr>
          <w:spacing w:val="-5"/>
        </w:rPr>
        <w:t> </w:t>
      </w:r>
      <w:r>
        <w:rPr/>
        <w:t>nation’s</w:t>
      </w:r>
      <w:r>
        <w:rPr>
          <w:spacing w:val="-2"/>
        </w:rPr>
        <w:t> </w:t>
      </w:r>
      <w:r>
        <w:rPr/>
        <w:t>61</w:t>
      </w:r>
      <w:r>
        <w:rPr>
          <w:spacing w:val="-5"/>
        </w:rPr>
        <w:t> </w:t>
      </w:r>
      <w:r>
        <w:rPr/>
        <w:t>million</w:t>
      </w:r>
      <w:r>
        <w:rPr>
          <w:spacing w:val="-3"/>
        </w:rPr>
        <w:t> </w:t>
      </w:r>
      <w:r>
        <w:rPr/>
        <w:t>people</w:t>
      </w:r>
      <w:r>
        <w:rPr>
          <w:spacing w:val="-3"/>
        </w:rPr>
        <w:t> </w:t>
      </w:r>
      <w:r>
        <w:rPr/>
        <w:t>with</w:t>
      </w:r>
      <w:r>
        <w:rPr>
          <w:spacing w:val="-3"/>
        </w:rPr>
        <w:t> </w:t>
      </w:r>
      <w:r>
        <w:rPr/>
        <w:t>disabilities</w:t>
      </w:r>
      <w:r>
        <w:rPr>
          <w:spacing w:val="-2"/>
        </w:rPr>
        <w:t> </w:t>
      </w:r>
      <w:r>
        <w:rPr/>
        <w:t>(PWD).</w:t>
      </w:r>
      <w:r>
        <w:rPr>
          <w:spacing w:val="-1"/>
        </w:rPr>
        <w:t> </w:t>
      </w:r>
      <w:r>
        <w:rPr/>
        <w:t>The</w:t>
      </w:r>
      <w:r>
        <w:rPr>
          <w:spacing w:val="-5"/>
        </w:rPr>
        <w:t> </w:t>
      </w:r>
      <w:r>
        <w:rPr/>
        <w:t>Employment</w:t>
      </w:r>
      <w:r>
        <w:rPr>
          <w:spacing w:val="-1"/>
        </w:rPr>
        <w:t> </w:t>
      </w:r>
      <w:r>
        <w:rPr/>
        <w:t>and</w:t>
      </w:r>
      <w:r>
        <w:rPr>
          <w:spacing w:val="-5"/>
        </w:rPr>
        <w:t> </w:t>
      </w:r>
      <w:r>
        <w:rPr/>
        <w:t>Training</w:t>
      </w:r>
      <w:r>
        <w:rPr>
          <w:spacing w:val="-5"/>
        </w:rPr>
        <w:t> </w:t>
      </w:r>
      <w:r>
        <w:rPr/>
        <w:t>Task</w:t>
      </w:r>
      <w:r>
        <w:rPr>
          <w:spacing w:val="-2"/>
        </w:rPr>
        <w:t> </w:t>
      </w:r>
      <w:r>
        <w:rPr/>
        <w:t>Force concerns ourselves with policies and programs affecting PWD’s ability to achieve economic self-sufficiency through competitive integrated employment (CIE).</w:t>
      </w:r>
    </w:p>
    <w:p>
      <w:pPr>
        <w:pStyle w:val="BodyText"/>
        <w:spacing w:before="37"/>
      </w:pPr>
    </w:p>
    <w:p>
      <w:pPr>
        <w:pStyle w:val="BodyText"/>
        <w:spacing w:line="276" w:lineRule="auto" w:before="1"/>
        <w:ind w:left="124" w:right="99" w:hanging="3"/>
      </w:pPr>
      <w:r>
        <w:rPr/>
        <w:t>TCIEA provides the funding and technical assistance necessary for states and employers to prioritize CIE for people</w:t>
      </w:r>
      <w:r>
        <w:rPr>
          <w:spacing w:val="-2"/>
        </w:rPr>
        <w:t> </w:t>
      </w:r>
      <w:r>
        <w:rPr/>
        <w:t>with</w:t>
      </w:r>
      <w:r>
        <w:rPr>
          <w:spacing w:val="-2"/>
        </w:rPr>
        <w:t> </w:t>
      </w:r>
      <w:r>
        <w:rPr/>
        <w:t>disabilities</w:t>
      </w:r>
      <w:r>
        <w:rPr>
          <w:spacing w:val="-1"/>
        </w:rPr>
        <w:t> </w:t>
      </w:r>
      <w:r>
        <w:rPr/>
        <w:t>as</w:t>
      </w:r>
      <w:r>
        <w:rPr>
          <w:spacing w:val="-1"/>
        </w:rPr>
        <w:t> </w:t>
      </w:r>
      <w:r>
        <w:rPr/>
        <w:t>the</w:t>
      </w:r>
      <w:r>
        <w:rPr>
          <w:spacing w:val="-4"/>
        </w:rPr>
        <w:t> </w:t>
      </w:r>
      <w:r>
        <w:rPr/>
        <w:t>bill</w:t>
      </w:r>
      <w:r>
        <w:rPr>
          <w:spacing w:val="-2"/>
        </w:rPr>
        <w:t> </w:t>
      </w:r>
      <w:r>
        <w:rPr/>
        <w:t>gradually</w:t>
      </w:r>
      <w:r>
        <w:rPr>
          <w:spacing w:val="-1"/>
        </w:rPr>
        <w:t> </w:t>
      </w:r>
      <w:r>
        <w:rPr/>
        <w:t>sunsets</w:t>
      </w:r>
      <w:r>
        <w:rPr>
          <w:spacing w:val="-4"/>
        </w:rPr>
        <w:t> </w:t>
      </w:r>
      <w:r>
        <w:rPr/>
        <w:t>the</w:t>
      </w:r>
      <w:r>
        <w:rPr>
          <w:spacing w:val="-2"/>
        </w:rPr>
        <w:t> </w:t>
      </w:r>
      <w:r>
        <w:rPr/>
        <w:t>14(c)</w:t>
      </w:r>
      <w:r>
        <w:rPr>
          <w:spacing w:val="-3"/>
        </w:rPr>
        <w:t> </w:t>
      </w:r>
      <w:r>
        <w:rPr/>
        <w:t>program over</w:t>
      </w:r>
      <w:r>
        <w:rPr>
          <w:spacing w:val="-3"/>
        </w:rPr>
        <w:t> </w:t>
      </w:r>
      <w:r>
        <w:rPr/>
        <w:t>five</w:t>
      </w:r>
      <w:r>
        <w:rPr>
          <w:spacing w:val="-2"/>
        </w:rPr>
        <w:t> </w:t>
      </w:r>
      <w:r>
        <w:rPr/>
        <w:t>years.</w:t>
      </w:r>
      <w:r>
        <w:rPr>
          <w:spacing w:val="-2"/>
        </w:rPr>
        <w:t> </w:t>
      </w:r>
      <w:r>
        <w:rPr/>
        <w:t>To</w:t>
      </w:r>
      <w:r>
        <w:rPr>
          <w:spacing w:val="-2"/>
        </w:rPr>
        <w:t> </w:t>
      </w:r>
      <w:r>
        <w:rPr/>
        <w:t>date,</w:t>
      </w:r>
      <w:r>
        <w:rPr>
          <w:spacing w:val="-2"/>
        </w:rPr>
        <w:t> </w:t>
      </w:r>
      <w:r>
        <w:rPr/>
        <w:t>11</w:t>
      </w:r>
      <w:r>
        <w:rPr>
          <w:spacing w:val="-5"/>
        </w:rPr>
        <w:t> </w:t>
      </w:r>
      <w:r>
        <w:rPr/>
        <w:t>states</w:t>
      </w:r>
      <w:r>
        <w:rPr>
          <w:spacing w:val="-4"/>
        </w:rPr>
        <w:t> </w:t>
      </w:r>
      <w:r>
        <w:rPr/>
        <w:t>have fully enacted legislation to eliminate the subminimum wage, three have eliminated it without any legislation or official policy action, and four are actively phasing it out.</w:t>
      </w:r>
      <w:hyperlink w:history="true" w:anchor="_bookmark0">
        <w:r>
          <w:rPr>
            <w:vertAlign w:val="superscript"/>
          </w:rPr>
          <w:t>1</w:t>
        </w:r>
      </w:hyperlink>
      <w:r>
        <w:rPr>
          <w:vertAlign w:val="baseline"/>
        </w:rPr>
        <w:t> If passed, this legislation will ensure that ALL workers with disabilities have the right to earn at least the Federal minimum wage in integrated employment settings, just like workers without disabilities. This is a necessary step in achieving the full intent of the Americans</w:t>
      </w:r>
      <w:r>
        <w:rPr>
          <w:spacing w:val="-1"/>
          <w:vertAlign w:val="baseline"/>
        </w:rPr>
        <w:t> </w:t>
      </w:r>
      <w:r>
        <w:rPr>
          <w:vertAlign w:val="baseline"/>
        </w:rPr>
        <w:t>with</w:t>
      </w:r>
      <w:r>
        <w:rPr>
          <w:spacing w:val="-4"/>
          <w:vertAlign w:val="baseline"/>
        </w:rPr>
        <w:t> </w:t>
      </w:r>
      <w:r>
        <w:rPr>
          <w:vertAlign w:val="baseline"/>
        </w:rPr>
        <w:t>Disabilities</w:t>
      </w:r>
      <w:r>
        <w:rPr>
          <w:spacing w:val="-1"/>
          <w:vertAlign w:val="baseline"/>
        </w:rPr>
        <w:t> </w:t>
      </w:r>
      <w:r>
        <w:rPr>
          <w:vertAlign w:val="baseline"/>
        </w:rPr>
        <w:t>Act</w:t>
      </w:r>
      <w:r>
        <w:rPr>
          <w:spacing w:val="-2"/>
          <w:vertAlign w:val="baseline"/>
        </w:rPr>
        <w:t> </w:t>
      </w:r>
      <w:r>
        <w:rPr>
          <w:vertAlign w:val="baseline"/>
        </w:rPr>
        <w:t>(ADA), which</w:t>
      </w:r>
      <w:r>
        <w:rPr>
          <w:spacing w:val="-2"/>
          <w:vertAlign w:val="baseline"/>
        </w:rPr>
        <w:t> </w:t>
      </w:r>
      <w:r>
        <w:rPr>
          <w:vertAlign w:val="baseline"/>
        </w:rPr>
        <w:t>aims</w:t>
      </w:r>
      <w:r>
        <w:rPr>
          <w:spacing w:val="-1"/>
          <w:vertAlign w:val="baseline"/>
        </w:rPr>
        <w:t> </w:t>
      </w:r>
      <w:r>
        <w:rPr>
          <w:vertAlign w:val="baseline"/>
        </w:rPr>
        <w:t>to</w:t>
      </w:r>
      <w:r>
        <w:rPr>
          <w:spacing w:val="-4"/>
          <w:vertAlign w:val="baseline"/>
        </w:rPr>
        <w:t> </w:t>
      </w:r>
      <w:r>
        <w:rPr>
          <w:vertAlign w:val="baseline"/>
        </w:rPr>
        <w:t>advance</w:t>
      </w:r>
      <w:r>
        <w:rPr>
          <w:spacing w:val="-4"/>
          <w:vertAlign w:val="baseline"/>
        </w:rPr>
        <w:t> </w:t>
      </w:r>
      <w:r>
        <w:rPr>
          <w:vertAlign w:val="baseline"/>
        </w:rPr>
        <w:t>economic</w:t>
      </w:r>
      <w:r>
        <w:rPr>
          <w:spacing w:val="-1"/>
          <w:vertAlign w:val="baseline"/>
        </w:rPr>
        <w:t> </w:t>
      </w:r>
      <w:r>
        <w:rPr>
          <w:vertAlign w:val="baseline"/>
        </w:rPr>
        <w:t>self-sufficiency</w:t>
      </w:r>
      <w:r>
        <w:rPr>
          <w:spacing w:val="-1"/>
          <w:vertAlign w:val="baseline"/>
        </w:rPr>
        <w:t> </w:t>
      </w:r>
      <w:r>
        <w:rPr>
          <w:vertAlign w:val="baseline"/>
        </w:rPr>
        <w:t>and</w:t>
      </w:r>
      <w:r>
        <w:rPr>
          <w:spacing w:val="-4"/>
          <w:vertAlign w:val="baseline"/>
        </w:rPr>
        <w:t> </w:t>
      </w:r>
      <w:r>
        <w:rPr>
          <w:vertAlign w:val="baseline"/>
        </w:rPr>
        <w:t>ensure</w:t>
      </w:r>
      <w:r>
        <w:rPr>
          <w:spacing w:val="-2"/>
          <w:vertAlign w:val="baseline"/>
        </w:rPr>
        <w:t> </w:t>
      </w:r>
      <w:r>
        <w:rPr>
          <w:vertAlign w:val="baseline"/>
        </w:rPr>
        <w:t>basic</w:t>
      </w:r>
      <w:r>
        <w:rPr>
          <w:spacing w:val="-1"/>
          <w:vertAlign w:val="baseline"/>
        </w:rPr>
        <w:t> </w:t>
      </w:r>
      <w:r>
        <w:rPr>
          <w:vertAlign w:val="baseline"/>
        </w:rPr>
        <w:t>civil rights for people with disabilities. Furthermore, the Workforce Innovation and Opportunity Act (WIOA) of 2014 established competitive integrated employment as a priority, ensuring that people with disabilities work in mainstream jobs alongside, and are paid comparable wages to co-workers without disabilities.</w:t>
      </w:r>
    </w:p>
    <w:p>
      <w:pPr>
        <w:pStyle w:val="BodyText"/>
        <w:spacing w:before="37"/>
      </w:pPr>
    </w:p>
    <w:p>
      <w:pPr>
        <w:pStyle w:val="BodyText"/>
        <w:spacing w:line="276" w:lineRule="auto"/>
        <w:ind w:left="127" w:right="99" w:hanging="8"/>
      </w:pPr>
      <w:r>
        <w:rPr/>
        <w:t>We support the efforts currently underway to end the use of 14(c) certificates under the Fair Labor Standards Act.</w:t>
      </w:r>
      <w:r>
        <w:rPr>
          <w:spacing w:val="-3"/>
        </w:rPr>
        <w:t> </w:t>
      </w:r>
      <w:r>
        <w:rPr/>
        <w:t>An</w:t>
      </w:r>
      <w:r>
        <w:rPr>
          <w:spacing w:val="-3"/>
        </w:rPr>
        <w:t> </w:t>
      </w:r>
      <w:r>
        <w:rPr/>
        <w:t>effective</w:t>
      </w:r>
      <w:r>
        <w:rPr>
          <w:spacing w:val="-3"/>
        </w:rPr>
        <w:t> </w:t>
      </w:r>
      <w:r>
        <w:rPr/>
        <w:t>phase-out</w:t>
      </w:r>
      <w:r>
        <w:rPr>
          <w:spacing w:val="-1"/>
        </w:rPr>
        <w:t> </w:t>
      </w:r>
      <w:r>
        <w:rPr/>
        <w:t>of</w:t>
      </w:r>
      <w:r>
        <w:rPr>
          <w:spacing w:val="-1"/>
        </w:rPr>
        <w:t> </w:t>
      </w:r>
      <w:r>
        <w:rPr/>
        <w:t>Section</w:t>
      </w:r>
      <w:r>
        <w:rPr>
          <w:spacing w:val="-3"/>
        </w:rPr>
        <w:t> </w:t>
      </w:r>
      <w:r>
        <w:rPr/>
        <w:t>14(c)</w:t>
      </w:r>
      <w:r>
        <w:rPr>
          <w:spacing w:val="-4"/>
        </w:rPr>
        <w:t> </w:t>
      </w:r>
      <w:r>
        <w:rPr/>
        <w:t>must</w:t>
      </w:r>
      <w:r>
        <w:rPr>
          <w:spacing w:val="-1"/>
        </w:rPr>
        <w:t> </w:t>
      </w:r>
      <w:r>
        <w:rPr/>
        <w:t>involve</w:t>
      </w:r>
      <w:r>
        <w:rPr>
          <w:spacing w:val="-3"/>
        </w:rPr>
        <w:t> </w:t>
      </w:r>
      <w:r>
        <w:rPr/>
        <w:t>the</w:t>
      </w:r>
      <w:r>
        <w:rPr>
          <w:spacing w:val="-5"/>
        </w:rPr>
        <w:t> </w:t>
      </w:r>
      <w:r>
        <w:rPr/>
        <w:t>building</w:t>
      </w:r>
      <w:r>
        <w:rPr>
          <w:spacing w:val="-3"/>
        </w:rPr>
        <w:t> </w:t>
      </w:r>
      <w:r>
        <w:rPr/>
        <w:t>of</w:t>
      </w:r>
      <w:r>
        <w:rPr>
          <w:spacing w:val="-1"/>
        </w:rPr>
        <w:t> </w:t>
      </w:r>
      <w:r>
        <w:rPr/>
        <w:t>necessary</w:t>
      </w:r>
      <w:r>
        <w:rPr>
          <w:spacing w:val="-5"/>
        </w:rPr>
        <w:t> </w:t>
      </w:r>
      <w:r>
        <w:rPr/>
        <w:t>infrastructure</w:t>
      </w:r>
      <w:r>
        <w:rPr>
          <w:spacing w:val="-3"/>
        </w:rPr>
        <w:t> </w:t>
      </w:r>
      <w:r>
        <w:rPr/>
        <w:t>and</w:t>
      </w:r>
      <w:r>
        <w:rPr>
          <w:spacing w:val="-3"/>
        </w:rPr>
        <w:t> </w:t>
      </w:r>
      <w:r>
        <w:rPr/>
        <w:t>supports to ensure that better alternatives are available during and after the transition. TCIEA provides that infrastructure and comprehensive support through grant programs and technical assistance to assist with the transition. This is an important piece of legislation that will create a pathway to support the transition for the 42,134 people with disabilities earning subminimum wage under 14(c) certificates.</w:t>
      </w:r>
      <w:hyperlink w:history="true" w:anchor="_bookmark1">
        <w:r>
          <w:rPr>
            <w:vertAlign w:val="superscript"/>
          </w:rPr>
          <w:t>2</w:t>
        </w:r>
      </w:hyperlink>
    </w:p>
    <w:p>
      <w:pPr>
        <w:pStyle w:val="BodyText"/>
        <w:spacing w:before="39"/>
      </w:pPr>
    </w:p>
    <w:p>
      <w:pPr>
        <w:pStyle w:val="BodyText"/>
        <w:ind w:left="120"/>
      </w:pPr>
      <w:r>
        <w:rPr/>
        <w:t>Additionally,</w:t>
      </w:r>
      <w:r>
        <w:rPr>
          <w:spacing w:val="-6"/>
        </w:rPr>
        <w:t> </w:t>
      </w:r>
      <w:r>
        <w:rPr/>
        <w:t>we</w:t>
      </w:r>
      <w:r>
        <w:rPr>
          <w:spacing w:val="-6"/>
        </w:rPr>
        <w:t> </w:t>
      </w:r>
      <w:r>
        <w:rPr/>
        <w:t>strongly</w:t>
      </w:r>
      <w:r>
        <w:rPr>
          <w:spacing w:val="-8"/>
        </w:rPr>
        <w:t> </w:t>
      </w:r>
      <w:r>
        <w:rPr/>
        <w:t>recommend</w:t>
      </w:r>
      <w:r>
        <w:rPr>
          <w:spacing w:val="-7"/>
        </w:rPr>
        <w:t> </w:t>
      </w:r>
      <w:r>
        <w:rPr/>
        <w:t>that</w:t>
      </w:r>
      <w:r>
        <w:rPr>
          <w:spacing w:val="-7"/>
        </w:rPr>
        <w:t> </w:t>
      </w:r>
      <w:r>
        <w:rPr/>
        <w:t>members</w:t>
      </w:r>
      <w:r>
        <w:rPr>
          <w:spacing w:val="-5"/>
        </w:rPr>
        <w:t> </w:t>
      </w:r>
      <w:r>
        <w:rPr/>
        <w:t>of</w:t>
      </w:r>
      <w:r>
        <w:rPr>
          <w:spacing w:val="-4"/>
        </w:rPr>
        <w:t> </w:t>
      </w:r>
      <w:r>
        <w:rPr/>
        <w:t>Congress</w:t>
      </w:r>
      <w:r>
        <w:rPr>
          <w:spacing w:val="-7"/>
        </w:rPr>
        <w:t> </w:t>
      </w:r>
      <w:r>
        <w:rPr/>
        <w:t>visit</w:t>
      </w:r>
      <w:r>
        <w:rPr>
          <w:spacing w:val="-4"/>
        </w:rPr>
        <w:t> </w:t>
      </w:r>
      <w:r>
        <w:rPr/>
        <w:t>worksites</w:t>
      </w:r>
      <w:r>
        <w:rPr>
          <w:spacing w:val="-5"/>
        </w:rPr>
        <w:t> </w:t>
      </w:r>
      <w:r>
        <w:rPr/>
        <w:t>and</w:t>
      </w:r>
      <w:r>
        <w:rPr>
          <w:spacing w:val="-8"/>
        </w:rPr>
        <w:t> </w:t>
      </w:r>
      <w:r>
        <w:rPr/>
        <w:t>community</w:t>
      </w:r>
      <w:r>
        <w:rPr>
          <w:spacing w:val="-7"/>
        </w:rPr>
        <w:t> </w:t>
      </w:r>
      <w:r>
        <w:rPr>
          <w:spacing w:val="-2"/>
        </w:rPr>
        <w:t>rehabilitation</w:t>
      </w:r>
    </w:p>
    <w:p>
      <w:pPr>
        <w:pStyle w:val="BodyText"/>
        <w:spacing w:before="36"/>
        <w:rPr>
          <w:sz w:val="20"/>
        </w:rPr>
      </w:pPr>
      <w:r>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184242</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4.507248pt;width:144pt;height:.599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42" w:lineRule="auto" w:before="110"/>
        <w:ind w:left="119" w:right="1235" w:firstLine="0"/>
        <w:jc w:val="left"/>
        <w:rPr>
          <w:rFonts w:ascii="Times New Roman"/>
          <w:sz w:val="20"/>
        </w:rPr>
      </w:pPr>
      <w:bookmarkStart w:name="_bookmark0" w:id="1"/>
      <w:bookmarkEnd w:id="1"/>
      <w:r>
        <w:rPr/>
      </w:r>
      <w:r>
        <w:rPr>
          <w:sz w:val="20"/>
          <w:vertAlign w:val="superscript"/>
        </w:rPr>
        <w:t>1</w:t>
      </w:r>
      <w:r>
        <w:rPr>
          <w:spacing w:val="-8"/>
          <w:sz w:val="20"/>
          <w:vertAlign w:val="baseline"/>
        </w:rPr>
        <w:t> </w:t>
      </w:r>
      <w:r>
        <w:rPr>
          <w:rFonts w:ascii="Times New Roman"/>
          <w:sz w:val="20"/>
          <w:vertAlign w:val="baseline"/>
        </w:rPr>
        <w:t>Association</w:t>
      </w:r>
      <w:r>
        <w:rPr>
          <w:rFonts w:ascii="Times New Roman"/>
          <w:spacing w:val="-2"/>
          <w:sz w:val="20"/>
          <w:vertAlign w:val="baseline"/>
        </w:rPr>
        <w:t> </w:t>
      </w:r>
      <w:r>
        <w:rPr>
          <w:rFonts w:ascii="Times New Roman"/>
          <w:sz w:val="20"/>
          <w:vertAlign w:val="baseline"/>
        </w:rPr>
        <w:t>of</w:t>
      </w:r>
      <w:r>
        <w:rPr>
          <w:rFonts w:ascii="Times New Roman"/>
          <w:spacing w:val="-2"/>
          <w:sz w:val="20"/>
          <w:vertAlign w:val="baseline"/>
        </w:rPr>
        <w:t> </w:t>
      </w:r>
      <w:r>
        <w:rPr>
          <w:rFonts w:ascii="Times New Roman"/>
          <w:sz w:val="20"/>
          <w:vertAlign w:val="baseline"/>
        </w:rPr>
        <w:t>People</w:t>
      </w:r>
      <w:r>
        <w:rPr>
          <w:rFonts w:ascii="Times New Roman"/>
          <w:spacing w:val="-2"/>
          <w:sz w:val="20"/>
          <w:vertAlign w:val="baseline"/>
        </w:rPr>
        <w:t> </w:t>
      </w:r>
      <w:r>
        <w:rPr>
          <w:rFonts w:ascii="Times New Roman"/>
          <w:sz w:val="20"/>
          <w:vertAlign w:val="baseline"/>
        </w:rPr>
        <w:t>Supporting</w:t>
      </w:r>
      <w:r>
        <w:rPr>
          <w:rFonts w:ascii="Times New Roman"/>
          <w:spacing w:val="-2"/>
          <w:sz w:val="20"/>
          <w:vertAlign w:val="baseline"/>
        </w:rPr>
        <w:t> </w:t>
      </w:r>
      <w:r>
        <w:rPr>
          <w:rFonts w:ascii="Times New Roman"/>
          <w:sz w:val="20"/>
          <w:vertAlign w:val="baseline"/>
        </w:rPr>
        <w:t>Employment</w:t>
      </w:r>
      <w:r>
        <w:rPr>
          <w:rFonts w:ascii="Times New Roman"/>
          <w:spacing w:val="-2"/>
          <w:sz w:val="20"/>
          <w:vertAlign w:val="baseline"/>
        </w:rPr>
        <w:t> </w:t>
      </w:r>
      <w:r>
        <w:rPr>
          <w:rFonts w:ascii="Times New Roman"/>
          <w:sz w:val="20"/>
          <w:vertAlign w:val="baseline"/>
        </w:rPr>
        <w:t>First</w:t>
      </w:r>
      <w:r>
        <w:rPr>
          <w:rFonts w:ascii="Times New Roman"/>
          <w:spacing w:val="-2"/>
          <w:sz w:val="20"/>
          <w:vertAlign w:val="baseline"/>
        </w:rPr>
        <w:t> </w:t>
      </w:r>
      <w:r>
        <w:rPr>
          <w:rFonts w:ascii="Times New Roman"/>
          <w:sz w:val="20"/>
          <w:vertAlign w:val="baseline"/>
        </w:rPr>
        <w:t>(2024,</w:t>
      </w:r>
      <w:r>
        <w:rPr>
          <w:rFonts w:ascii="Times New Roman"/>
          <w:spacing w:val="-4"/>
          <w:sz w:val="20"/>
          <w:vertAlign w:val="baseline"/>
        </w:rPr>
        <w:t> </w:t>
      </w:r>
      <w:r>
        <w:rPr>
          <w:rFonts w:ascii="Times New Roman"/>
          <w:sz w:val="20"/>
          <w:vertAlign w:val="baseline"/>
        </w:rPr>
        <w:t>July).</w:t>
      </w:r>
      <w:r>
        <w:rPr>
          <w:rFonts w:ascii="Times New Roman"/>
          <w:spacing w:val="-2"/>
          <w:sz w:val="20"/>
          <w:vertAlign w:val="baseline"/>
        </w:rPr>
        <w:t> </w:t>
      </w:r>
      <w:r>
        <w:rPr>
          <w:rFonts w:ascii="Times New Roman"/>
          <w:i/>
          <w:sz w:val="20"/>
          <w:vertAlign w:val="baseline"/>
        </w:rPr>
        <w:t>Trends</w:t>
      </w:r>
      <w:r>
        <w:rPr>
          <w:rFonts w:ascii="Times New Roman"/>
          <w:i/>
          <w:spacing w:val="-3"/>
          <w:sz w:val="20"/>
          <w:vertAlign w:val="baseline"/>
        </w:rPr>
        <w:t> </w:t>
      </w:r>
      <w:r>
        <w:rPr>
          <w:rFonts w:ascii="Times New Roman"/>
          <w:i/>
          <w:sz w:val="20"/>
          <w:vertAlign w:val="baseline"/>
        </w:rPr>
        <w:t>and</w:t>
      </w:r>
      <w:r>
        <w:rPr>
          <w:rFonts w:ascii="Times New Roman"/>
          <w:i/>
          <w:spacing w:val="-2"/>
          <w:sz w:val="20"/>
          <w:vertAlign w:val="baseline"/>
        </w:rPr>
        <w:t> </w:t>
      </w:r>
      <w:r>
        <w:rPr>
          <w:rFonts w:ascii="Times New Roman"/>
          <w:i/>
          <w:sz w:val="20"/>
          <w:vertAlign w:val="baseline"/>
        </w:rPr>
        <w:t>Current</w:t>
      </w:r>
      <w:r>
        <w:rPr>
          <w:rFonts w:ascii="Times New Roman"/>
          <w:i/>
          <w:spacing w:val="-2"/>
          <w:sz w:val="20"/>
          <w:vertAlign w:val="baseline"/>
        </w:rPr>
        <w:t> </w:t>
      </w:r>
      <w:r>
        <w:rPr>
          <w:rFonts w:ascii="Times New Roman"/>
          <w:i/>
          <w:sz w:val="20"/>
          <w:vertAlign w:val="baseline"/>
        </w:rPr>
        <w:t>Status</w:t>
      </w:r>
      <w:r>
        <w:rPr>
          <w:rFonts w:ascii="Times New Roman"/>
          <w:i/>
          <w:spacing w:val="-3"/>
          <w:sz w:val="20"/>
          <w:vertAlign w:val="baseline"/>
        </w:rPr>
        <w:t> </w:t>
      </w:r>
      <w:r>
        <w:rPr>
          <w:rFonts w:ascii="Times New Roman"/>
          <w:i/>
          <w:sz w:val="20"/>
          <w:vertAlign w:val="baseline"/>
        </w:rPr>
        <w:t>of</w:t>
      </w:r>
      <w:r>
        <w:rPr>
          <w:rFonts w:ascii="Times New Roman"/>
          <w:i/>
          <w:spacing w:val="-2"/>
          <w:sz w:val="20"/>
          <w:vertAlign w:val="baseline"/>
        </w:rPr>
        <w:t> </w:t>
      </w:r>
      <w:r>
        <w:rPr>
          <w:rFonts w:ascii="Times New Roman"/>
          <w:i/>
          <w:sz w:val="20"/>
          <w:vertAlign w:val="baseline"/>
        </w:rPr>
        <w:t>14(c)</w:t>
      </w:r>
      <w:r>
        <w:rPr>
          <w:rFonts w:ascii="Times New Roman"/>
          <w:sz w:val="20"/>
          <w:vertAlign w:val="baseline"/>
        </w:rPr>
        <w:t>.</w:t>
      </w:r>
      <w:r>
        <w:rPr>
          <w:rFonts w:ascii="Times New Roman"/>
          <w:spacing w:val="-2"/>
          <w:sz w:val="20"/>
          <w:vertAlign w:val="baseline"/>
        </w:rPr>
        <w:t> </w:t>
      </w:r>
      <w:r>
        <w:rPr>
          <w:rFonts w:ascii="Times New Roman"/>
          <w:sz w:val="20"/>
          <w:vertAlign w:val="baseline"/>
        </w:rPr>
        <w:t>Retrieved</w:t>
      </w:r>
      <w:r>
        <w:rPr>
          <w:rFonts w:ascii="Times New Roman"/>
          <w:spacing w:val="-2"/>
          <w:sz w:val="20"/>
          <w:vertAlign w:val="baseline"/>
        </w:rPr>
        <w:t> </w:t>
      </w:r>
      <w:r>
        <w:rPr>
          <w:rFonts w:ascii="Times New Roman"/>
          <w:sz w:val="20"/>
          <w:vertAlign w:val="baseline"/>
        </w:rPr>
        <w:t>from </w:t>
      </w:r>
      <w:hyperlink r:id="rId7">
        <w:r>
          <w:rPr>
            <w:rFonts w:ascii="Times New Roman"/>
            <w:color w:val="0000FF"/>
            <w:spacing w:val="-2"/>
            <w:sz w:val="20"/>
            <w:u w:val="single" w:color="0000FF"/>
            <w:vertAlign w:val="baseline"/>
          </w:rPr>
          <w:t>https://apse.org/wp-content/uploads/2024/08/APSE-14c-Update-REV-Jul24.pdf</w:t>
        </w:r>
      </w:hyperlink>
    </w:p>
    <w:p>
      <w:pPr>
        <w:spacing w:line="244" w:lineRule="auto" w:before="17"/>
        <w:ind w:left="120" w:right="1213" w:hanging="1"/>
        <w:jc w:val="left"/>
        <w:rPr>
          <w:rFonts w:ascii="Times New Roman"/>
          <w:sz w:val="20"/>
        </w:rPr>
      </w:pPr>
      <w:bookmarkStart w:name="_bookmark1" w:id="2"/>
      <w:bookmarkEnd w:id="2"/>
      <w:r>
        <w:rPr/>
      </w:r>
      <w:r>
        <w:rPr>
          <w:sz w:val="20"/>
          <w:vertAlign w:val="superscript"/>
        </w:rPr>
        <w:t>2</w:t>
      </w:r>
      <w:r>
        <w:rPr>
          <w:spacing w:val="-8"/>
          <w:sz w:val="20"/>
          <w:vertAlign w:val="baseline"/>
        </w:rPr>
        <w:t> </w:t>
      </w:r>
      <w:r>
        <w:rPr>
          <w:rFonts w:ascii="Times New Roman"/>
          <w:sz w:val="20"/>
          <w:vertAlign w:val="baseline"/>
        </w:rPr>
        <w:t>U.S.</w:t>
      </w:r>
      <w:r>
        <w:rPr>
          <w:rFonts w:ascii="Times New Roman"/>
          <w:spacing w:val="-1"/>
          <w:sz w:val="20"/>
          <w:vertAlign w:val="baseline"/>
        </w:rPr>
        <w:t> </w:t>
      </w:r>
      <w:r>
        <w:rPr>
          <w:rFonts w:ascii="Times New Roman"/>
          <w:sz w:val="20"/>
          <w:vertAlign w:val="baseline"/>
        </w:rPr>
        <w:t>Department</w:t>
      </w:r>
      <w:r>
        <w:rPr>
          <w:rFonts w:ascii="Times New Roman"/>
          <w:spacing w:val="-2"/>
          <w:sz w:val="20"/>
          <w:vertAlign w:val="baseline"/>
        </w:rPr>
        <w:t> </w:t>
      </w:r>
      <w:r>
        <w:rPr>
          <w:rFonts w:ascii="Times New Roman"/>
          <w:sz w:val="20"/>
          <w:vertAlign w:val="baseline"/>
        </w:rPr>
        <w:t>of</w:t>
      </w:r>
      <w:r>
        <w:rPr>
          <w:rFonts w:ascii="Times New Roman"/>
          <w:spacing w:val="-4"/>
          <w:sz w:val="20"/>
          <w:vertAlign w:val="baseline"/>
        </w:rPr>
        <w:t> </w:t>
      </w:r>
      <w:r>
        <w:rPr>
          <w:rFonts w:ascii="Times New Roman"/>
          <w:sz w:val="20"/>
          <w:vertAlign w:val="baseline"/>
        </w:rPr>
        <w:t>Labor,</w:t>
      </w:r>
      <w:r>
        <w:rPr>
          <w:rFonts w:ascii="Times New Roman"/>
          <w:spacing w:val="-1"/>
          <w:sz w:val="20"/>
          <w:vertAlign w:val="baseline"/>
        </w:rPr>
        <w:t> </w:t>
      </w:r>
      <w:r>
        <w:rPr>
          <w:rFonts w:ascii="Times New Roman"/>
          <w:sz w:val="20"/>
          <w:vertAlign w:val="baseline"/>
        </w:rPr>
        <w:t>Wage</w:t>
      </w:r>
      <w:r>
        <w:rPr>
          <w:rFonts w:ascii="Times New Roman"/>
          <w:spacing w:val="-2"/>
          <w:sz w:val="20"/>
          <w:vertAlign w:val="baseline"/>
        </w:rPr>
        <w:t> </w:t>
      </w:r>
      <w:r>
        <w:rPr>
          <w:rFonts w:ascii="Times New Roman"/>
          <w:sz w:val="20"/>
          <w:vertAlign w:val="baseline"/>
        </w:rPr>
        <w:t>and</w:t>
      </w:r>
      <w:r>
        <w:rPr>
          <w:rFonts w:ascii="Times New Roman"/>
          <w:spacing w:val="-1"/>
          <w:sz w:val="20"/>
          <w:vertAlign w:val="baseline"/>
        </w:rPr>
        <w:t> </w:t>
      </w:r>
      <w:r>
        <w:rPr>
          <w:rFonts w:ascii="Times New Roman"/>
          <w:sz w:val="20"/>
          <w:vertAlign w:val="baseline"/>
        </w:rPr>
        <w:t>Hour</w:t>
      </w:r>
      <w:r>
        <w:rPr>
          <w:rFonts w:ascii="Times New Roman"/>
          <w:spacing w:val="-1"/>
          <w:sz w:val="20"/>
          <w:vertAlign w:val="baseline"/>
        </w:rPr>
        <w:t> </w:t>
      </w:r>
      <w:r>
        <w:rPr>
          <w:rFonts w:ascii="Times New Roman"/>
          <w:sz w:val="20"/>
          <w:vertAlign w:val="baseline"/>
        </w:rPr>
        <w:t>Division</w:t>
      </w:r>
      <w:r>
        <w:rPr>
          <w:rFonts w:ascii="Times New Roman"/>
          <w:spacing w:val="-1"/>
          <w:sz w:val="20"/>
          <w:vertAlign w:val="baseline"/>
        </w:rPr>
        <w:t> </w:t>
      </w:r>
      <w:r>
        <w:rPr>
          <w:rFonts w:ascii="Times New Roman"/>
          <w:sz w:val="20"/>
          <w:vertAlign w:val="baseline"/>
        </w:rPr>
        <w:t>Section</w:t>
      </w:r>
      <w:r>
        <w:rPr>
          <w:rFonts w:ascii="Times New Roman"/>
          <w:spacing w:val="-1"/>
          <w:sz w:val="20"/>
          <w:vertAlign w:val="baseline"/>
        </w:rPr>
        <w:t> </w:t>
      </w:r>
      <w:r>
        <w:rPr>
          <w:rFonts w:ascii="Times New Roman"/>
          <w:sz w:val="20"/>
          <w:vertAlign w:val="baseline"/>
        </w:rPr>
        <w:t>(2024,</w:t>
      </w:r>
      <w:r>
        <w:rPr>
          <w:rFonts w:ascii="Times New Roman"/>
          <w:spacing w:val="-1"/>
          <w:sz w:val="20"/>
          <w:vertAlign w:val="baseline"/>
        </w:rPr>
        <w:t> </w:t>
      </w:r>
      <w:r>
        <w:rPr>
          <w:rFonts w:ascii="Times New Roman"/>
          <w:sz w:val="20"/>
          <w:vertAlign w:val="baseline"/>
        </w:rPr>
        <w:t>July</w:t>
      </w:r>
      <w:r>
        <w:rPr>
          <w:rFonts w:ascii="Times New Roman"/>
          <w:spacing w:val="-3"/>
          <w:sz w:val="20"/>
          <w:vertAlign w:val="baseline"/>
        </w:rPr>
        <w:t> </w:t>
      </w:r>
      <w:r>
        <w:rPr>
          <w:rFonts w:ascii="Times New Roman"/>
          <w:sz w:val="20"/>
          <w:vertAlign w:val="baseline"/>
        </w:rPr>
        <w:t>1).</w:t>
      </w:r>
      <w:r>
        <w:rPr>
          <w:rFonts w:ascii="Times New Roman"/>
          <w:spacing w:val="-4"/>
          <w:sz w:val="20"/>
          <w:vertAlign w:val="baseline"/>
        </w:rPr>
        <w:t> </w:t>
      </w:r>
      <w:r>
        <w:rPr>
          <w:rFonts w:ascii="Times New Roman"/>
          <w:i/>
          <w:sz w:val="20"/>
          <w:vertAlign w:val="baseline"/>
        </w:rPr>
        <w:t>14(c)</w:t>
      </w:r>
      <w:r>
        <w:rPr>
          <w:rFonts w:ascii="Times New Roman"/>
          <w:i/>
          <w:spacing w:val="-1"/>
          <w:sz w:val="20"/>
          <w:vertAlign w:val="baseline"/>
        </w:rPr>
        <w:t> </w:t>
      </w:r>
      <w:r>
        <w:rPr>
          <w:rFonts w:ascii="Times New Roman"/>
          <w:i/>
          <w:sz w:val="20"/>
          <w:vertAlign w:val="baseline"/>
        </w:rPr>
        <w:t>Certificate</w:t>
      </w:r>
      <w:r>
        <w:rPr>
          <w:rFonts w:ascii="Times New Roman"/>
          <w:i/>
          <w:spacing w:val="-2"/>
          <w:sz w:val="20"/>
          <w:vertAlign w:val="baseline"/>
        </w:rPr>
        <w:t> </w:t>
      </w:r>
      <w:r>
        <w:rPr>
          <w:rFonts w:ascii="Times New Roman"/>
          <w:i/>
          <w:sz w:val="20"/>
          <w:vertAlign w:val="baseline"/>
        </w:rPr>
        <w:t>Holders.</w:t>
      </w:r>
      <w:r>
        <w:rPr>
          <w:rFonts w:ascii="Times New Roman"/>
          <w:i/>
          <w:spacing w:val="-1"/>
          <w:sz w:val="20"/>
          <w:vertAlign w:val="baseline"/>
        </w:rPr>
        <w:t> </w:t>
      </w:r>
      <w:r>
        <w:rPr>
          <w:rFonts w:ascii="Times New Roman"/>
          <w:sz w:val="20"/>
          <w:vertAlign w:val="baseline"/>
        </w:rPr>
        <w:t>Retrieved</w:t>
      </w:r>
      <w:r>
        <w:rPr>
          <w:rFonts w:ascii="Times New Roman"/>
          <w:spacing w:val="-1"/>
          <w:sz w:val="20"/>
          <w:vertAlign w:val="baseline"/>
        </w:rPr>
        <w:t> </w:t>
      </w:r>
      <w:r>
        <w:rPr>
          <w:rFonts w:ascii="Times New Roman"/>
          <w:sz w:val="20"/>
          <w:vertAlign w:val="baseline"/>
        </w:rPr>
        <w:t>from </w:t>
      </w:r>
      <w:hyperlink r:id="rId8">
        <w:r>
          <w:rPr>
            <w:rFonts w:ascii="Times New Roman"/>
            <w:color w:val="0000FF"/>
            <w:spacing w:val="-2"/>
            <w:sz w:val="20"/>
            <w:u w:val="single" w:color="0000FF"/>
            <w:vertAlign w:val="baseline"/>
          </w:rPr>
          <w:t>https://www.dol.gov/agencies/whd/workers-with-disabilities/section-14c/certificate-holders</w:t>
        </w:r>
      </w:hyperlink>
    </w:p>
    <w:p>
      <w:pPr>
        <w:spacing w:after="0" w:line="244" w:lineRule="auto"/>
        <w:jc w:val="left"/>
        <w:rPr>
          <w:rFonts w:ascii="Times New Roman"/>
          <w:sz w:val="20"/>
        </w:rPr>
        <w:sectPr>
          <w:footerReference w:type="default" r:id="rId5"/>
          <w:type w:val="continuous"/>
          <w:pgSz w:w="12240" w:h="15840"/>
          <w:pgMar w:header="0" w:footer="804" w:top="720" w:bottom="1000" w:left="600" w:right="720"/>
          <w:pgNumType w:start="1"/>
        </w:sectPr>
      </w:pPr>
    </w:p>
    <w:p>
      <w:pPr>
        <w:pStyle w:val="BodyText"/>
        <w:spacing w:line="276" w:lineRule="auto" w:before="70"/>
        <w:ind w:left="127"/>
      </w:pPr>
      <w:r>
        <w:rPr/>
        <w:t>programs that have already gone through a transition away from 14(c) to learn about their experiences. Members</w:t>
      </w:r>
      <w:r>
        <w:rPr>
          <w:spacing w:val="-1"/>
        </w:rPr>
        <w:t> </w:t>
      </w:r>
      <w:r>
        <w:rPr/>
        <w:t>of</w:t>
      </w:r>
      <w:r>
        <w:rPr>
          <w:spacing w:val="-2"/>
        </w:rPr>
        <w:t> </w:t>
      </w:r>
      <w:r>
        <w:rPr/>
        <w:t>the</w:t>
      </w:r>
      <w:r>
        <w:rPr>
          <w:spacing w:val="-4"/>
        </w:rPr>
        <w:t> </w:t>
      </w:r>
      <w:r>
        <w:rPr/>
        <w:t>CCD</w:t>
      </w:r>
      <w:r>
        <w:rPr>
          <w:spacing w:val="-2"/>
        </w:rPr>
        <w:t> </w:t>
      </w:r>
      <w:r>
        <w:rPr/>
        <w:t>Employment and</w:t>
      </w:r>
      <w:r>
        <w:rPr>
          <w:spacing w:val="-4"/>
        </w:rPr>
        <w:t> </w:t>
      </w:r>
      <w:r>
        <w:rPr/>
        <w:t>Training</w:t>
      </w:r>
      <w:r>
        <w:rPr>
          <w:spacing w:val="-4"/>
        </w:rPr>
        <w:t> </w:t>
      </w:r>
      <w:r>
        <w:rPr/>
        <w:t>Task</w:t>
      </w:r>
      <w:r>
        <w:rPr>
          <w:spacing w:val="-1"/>
        </w:rPr>
        <w:t> </w:t>
      </w:r>
      <w:r>
        <w:rPr/>
        <w:t>Force</w:t>
      </w:r>
      <w:r>
        <w:rPr>
          <w:spacing w:val="-2"/>
        </w:rPr>
        <w:t> </w:t>
      </w:r>
      <w:r>
        <w:rPr/>
        <w:t>welcome</w:t>
      </w:r>
      <w:r>
        <w:rPr>
          <w:spacing w:val="-4"/>
        </w:rPr>
        <w:t> </w:t>
      </w:r>
      <w:r>
        <w:rPr/>
        <w:t>the</w:t>
      </w:r>
      <w:r>
        <w:rPr>
          <w:spacing w:val="-4"/>
        </w:rPr>
        <w:t> </w:t>
      </w:r>
      <w:r>
        <w:rPr/>
        <w:t>opportunity</w:t>
      </w:r>
      <w:r>
        <w:rPr>
          <w:spacing w:val="-4"/>
        </w:rPr>
        <w:t> </w:t>
      </w:r>
      <w:r>
        <w:rPr/>
        <w:t>to</w:t>
      </w:r>
      <w:r>
        <w:rPr>
          <w:spacing w:val="-4"/>
        </w:rPr>
        <w:t> </w:t>
      </w:r>
      <w:r>
        <w:rPr/>
        <w:t>work</w:t>
      </w:r>
      <w:r>
        <w:rPr>
          <w:spacing w:val="-4"/>
        </w:rPr>
        <w:t> </w:t>
      </w:r>
      <w:r>
        <w:rPr/>
        <w:t>with</w:t>
      </w:r>
      <w:r>
        <w:rPr>
          <w:spacing w:val="-4"/>
        </w:rPr>
        <w:t> </w:t>
      </w:r>
      <w:r>
        <w:rPr/>
        <w:t>the</w:t>
      </w:r>
      <w:r>
        <w:rPr>
          <w:spacing w:val="-2"/>
        </w:rPr>
        <w:t> </w:t>
      </w:r>
      <w:r>
        <w:rPr/>
        <w:t>Senate HELP Committee to arrange for these tours.</w:t>
      </w:r>
    </w:p>
    <w:p>
      <w:pPr>
        <w:pStyle w:val="BodyText"/>
        <w:spacing w:before="38"/>
      </w:pPr>
    </w:p>
    <w:p>
      <w:pPr>
        <w:pStyle w:val="BodyText"/>
        <w:spacing w:line="276" w:lineRule="auto"/>
        <w:ind w:left="124"/>
      </w:pPr>
      <w:r>
        <w:rPr/>
        <w:t>We</w:t>
      </w:r>
      <w:r>
        <w:rPr>
          <w:spacing w:val="-3"/>
        </w:rPr>
        <w:t> </w:t>
      </w:r>
      <w:r>
        <w:rPr/>
        <w:t>thank you</w:t>
      </w:r>
      <w:r>
        <w:rPr>
          <w:spacing w:val="-5"/>
        </w:rPr>
        <w:t> </w:t>
      </w:r>
      <w:r>
        <w:rPr/>
        <w:t>for</w:t>
      </w:r>
      <w:r>
        <w:rPr>
          <w:spacing w:val="-2"/>
        </w:rPr>
        <w:t> </w:t>
      </w:r>
      <w:r>
        <w:rPr/>
        <w:t>your</w:t>
      </w:r>
      <w:r>
        <w:rPr>
          <w:spacing w:val="-2"/>
        </w:rPr>
        <w:t> </w:t>
      </w:r>
      <w:r>
        <w:rPr/>
        <w:t>commitment</w:t>
      </w:r>
      <w:r>
        <w:rPr>
          <w:spacing w:val="-2"/>
        </w:rPr>
        <w:t> </w:t>
      </w:r>
      <w:r>
        <w:rPr/>
        <w:t>to</w:t>
      </w:r>
      <w:r>
        <w:rPr>
          <w:spacing w:val="-3"/>
        </w:rPr>
        <w:t> </w:t>
      </w:r>
      <w:r>
        <w:rPr/>
        <w:t>these</w:t>
      </w:r>
      <w:r>
        <w:rPr>
          <w:spacing w:val="-3"/>
        </w:rPr>
        <w:t> </w:t>
      </w:r>
      <w:r>
        <w:rPr/>
        <w:t>issues and</w:t>
      </w:r>
      <w:r>
        <w:rPr>
          <w:spacing w:val="-1"/>
        </w:rPr>
        <w:t> </w:t>
      </w:r>
      <w:r>
        <w:rPr/>
        <w:t>are</w:t>
      </w:r>
      <w:r>
        <w:rPr>
          <w:spacing w:val="-1"/>
        </w:rPr>
        <w:t> </w:t>
      </w:r>
      <w:r>
        <w:rPr/>
        <w:t>available</w:t>
      </w:r>
      <w:r>
        <w:rPr>
          <w:spacing w:val="-3"/>
        </w:rPr>
        <w:t> </w:t>
      </w:r>
      <w:r>
        <w:rPr/>
        <w:t>to</w:t>
      </w:r>
      <w:r>
        <w:rPr>
          <w:spacing w:val="-1"/>
        </w:rPr>
        <w:t> </w:t>
      </w:r>
      <w:r>
        <w:rPr/>
        <w:t>answer any</w:t>
      </w:r>
      <w:r>
        <w:rPr>
          <w:spacing w:val="-3"/>
        </w:rPr>
        <w:t> </w:t>
      </w:r>
      <w:r>
        <w:rPr/>
        <w:t>questions</w:t>
      </w:r>
      <w:r>
        <w:rPr>
          <w:spacing w:val="-3"/>
        </w:rPr>
        <w:t> </w:t>
      </w:r>
      <w:r>
        <w:rPr/>
        <w:t>you</w:t>
      </w:r>
      <w:r>
        <w:rPr>
          <w:spacing w:val="-5"/>
        </w:rPr>
        <w:t> </w:t>
      </w:r>
      <w:r>
        <w:rPr/>
        <w:t>may have. please feel</w:t>
      </w:r>
      <w:r>
        <w:rPr>
          <w:spacing w:val="40"/>
        </w:rPr>
        <w:t> </w:t>
      </w:r>
      <w:r>
        <w:rPr/>
        <w:t>free to contact any of</w:t>
      </w:r>
      <w:r>
        <w:rPr>
          <w:spacing w:val="-1"/>
        </w:rPr>
        <w:t> </w:t>
      </w:r>
      <w:r>
        <w:rPr/>
        <w:t>the Task Force Co-chairs with any questions - Julie J. Christensen, APSE, </w:t>
      </w:r>
      <w:hyperlink r:id="rId10">
        <w:r>
          <w:rPr>
            <w:color w:val="1154CC"/>
            <w:u w:val="single" w:color="1154CC"/>
          </w:rPr>
          <w:t>julie@apse.org</w:t>
        </w:r>
      </w:hyperlink>
      <w:r>
        <w:rPr>
          <w:u w:val="none"/>
        </w:rPr>
        <w:t>; Alicia Epstein, SourceAmerica, </w:t>
      </w:r>
      <w:hyperlink r:id="rId11">
        <w:r>
          <w:rPr>
            <w:color w:val="1154CC"/>
            <w:u w:val="single" w:color="1154CC"/>
          </w:rPr>
          <w:t>aepstein@sourceamerica.org</w:t>
        </w:r>
      </w:hyperlink>
      <w:r>
        <w:rPr>
          <w:u w:val="none"/>
        </w:rPr>
        <w:t>; and Rick Webster, National Industries for the Blind, </w:t>
      </w:r>
      <w:hyperlink r:id="rId12">
        <w:r>
          <w:rPr>
            <w:color w:val="1154CC"/>
            <w:u w:val="single" w:color="1154CC"/>
          </w:rPr>
          <w:t>rwebster@nib.org</w:t>
        </w:r>
      </w:hyperlink>
      <w:r>
        <w:rPr>
          <w:u w:val="none"/>
        </w:rPr>
        <w:t>.</w:t>
      </w:r>
    </w:p>
    <w:p>
      <w:pPr>
        <w:pStyle w:val="BodyText"/>
        <w:spacing w:before="38"/>
      </w:pPr>
    </w:p>
    <w:p>
      <w:pPr>
        <w:pStyle w:val="BodyText"/>
        <w:ind w:left="124"/>
      </w:pPr>
      <w:r>
        <w:rPr>
          <w:spacing w:val="-2"/>
        </w:rPr>
        <w:t>Sincerely,</w:t>
      </w:r>
    </w:p>
    <w:p>
      <w:pPr>
        <w:pStyle w:val="BodyText"/>
        <w:spacing w:before="77"/>
      </w:pPr>
    </w:p>
    <w:p>
      <w:pPr>
        <w:pStyle w:val="BodyText"/>
        <w:ind w:left="124"/>
      </w:pPr>
      <w:r>
        <w:rPr/>
        <w:t>Access</w:t>
      </w:r>
      <w:r>
        <w:rPr>
          <w:spacing w:val="-5"/>
        </w:rPr>
        <w:t> </w:t>
      </w:r>
      <w:r>
        <w:rPr/>
        <w:t>Ready</w:t>
      </w:r>
      <w:r>
        <w:rPr>
          <w:spacing w:val="-5"/>
        </w:rPr>
        <w:t> </w:t>
      </w:r>
      <w:r>
        <w:rPr>
          <w:spacing w:val="-4"/>
        </w:rPr>
        <w:t>Inc.</w:t>
      </w:r>
    </w:p>
    <w:p>
      <w:pPr>
        <w:pStyle w:val="BodyText"/>
        <w:spacing w:line="276" w:lineRule="auto" w:before="38"/>
        <w:ind w:left="124" w:right="4451"/>
      </w:pPr>
      <w:r>
        <w:rPr/>
        <w:t>American</w:t>
      </w:r>
      <w:r>
        <w:rPr>
          <w:spacing w:val="-7"/>
        </w:rPr>
        <w:t> </w:t>
      </w:r>
      <w:r>
        <w:rPr/>
        <w:t>Association</w:t>
      </w:r>
      <w:r>
        <w:rPr>
          <w:spacing w:val="-7"/>
        </w:rPr>
        <w:t> </w:t>
      </w:r>
      <w:r>
        <w:rPr/>
        <w:t>of</w:t>
      </w:r>
      <w:r>
        <w:rPr>
          <w:spacing w:val="-8"/>
        </w:rPr>
        <w:t> </w:t>
      </w:r>
      <w:r>
        <w:rPr/>
        <w:t>People</w:t>
      </w:r>
      <w:r>
        <w:rPr>
          <w:spacing w:val="-7"/>
        </w:rPr>
        <w:t> </w:t>
      </w:r>
      <w:r>
        <w:rPr/>
        <w:t>with</w:t>
      </w:r>
      <w:r>
        <w:rPr>
          <w:spacing w:val="-7"/>
        </w:rPr>
        <w:t> </w:t>
      </w:r>
      <w:r>
        <w:rPr/>
        <w:t>Disabilities</w:t>
      </w:r>
      <w:r>
        <w:rPr>
          <w:spacing w:val="-6"/>
        </w:rPr>
        <w:t> </w:t>
      </w:r>
      <w:r>
        <w:rPr/>
        <w:t>(AAPD) American Council of the Blind</w:t>
      </w:r>
    </w:p>
    <w:p>
      <w:pPr>
        <w:pStyle w:val="BodyText"/>
        <w:spacing w:line="276" w:lineRule="auto"/>
        <w:ind w:left="124" w:right="3882"/>
      </w:pPr>
      <w:r>
        <w:rPr/>
        <w:t>American</w:t>
      </w:r>
      <w:r>
        <w:rPr>
          <w:spacing w:val="-4"/>
        </w:rPr>
        <w:t> </w:t>
      </w:r>
      <w:r>
        <w:rPr/>
        <w:t>Network</w:t>
      </w:r>
      <w:r>
        <w:rPr>
          <w:spacing w:val="-6"/>
        </w:rPr>
        <w:t> </w:t>
      </w:r>
      <w:r>
        <w:rPr/>
        <w:t>of</w:t>
      </w:r>
      <w:r>
        <w:rPr>
          <w:spacing w:val="-4"/>
        </w:rPr>
        <w:t> </w:t>
      </w:r>
      <w:r>
        <w:rPr/>
        <w:t>Community</w:t>
      </w:r>
      <w:r>
        <w:rPr>
          <w:spacing w:val="-6"/>
        </w:rPr>
        <w:t> </w:t>
      </w:r>
      <w:r>
        <w:rPr/>
        <w:t>Options</w:t>
      </w:r>
      <w:r>
        <w:rPr>
          <w:spacing w:val="-6"/>
        </w:rPr>
        <w:t> </w:t>
      </w:r>
      <w:r>
        <w:rPr/>
        <w:t>and</w:t>
      </w:r>
      <w:r>
        <w:rPr>
          <w:spacing w:val="-4"/>
        </w:rPr>
        <w:t> </w:t>
      </w:r>
      <w:r>
        <w:rPr/>
        <w:t>Resources</w:t>
      </w:r>
      <w:r>
        <w:rPr>
          <w:spacing w:val="-6"/>
        </w:rPr>
        <w:t> </w:t>
      </w:r>
      <w:r>
        <w:rPr/>
        <w:t>(ANCOR) Association of People Supporting Employment First (APSE) Association of University Centers on Disabilities</w:t>
      </w:r>
    </w:p>
    <w:p>
      <w:pPr>
        <w:pStyle w:val="BodyText"/>
        <w:spacing w:line="276" w:lineRule="auto"/>
        <w:ind w:left="124" w:right="7539"/>
      </w:pPr>
      <w:r>
        <w:rPr/>
        <w:t>Autism Society of America Autistic</w:t>
      </w:r>
      <w:r>
        <w:rPr>
          <w:spacing w:val="-11"/>
        </w:rPr>
        <w:t> </w:t>
      </w:r>
      <w:r>
        <w:rPr/>
        <w:t>Self</w:t>
      </w:r>
      <w:r>
        <w:rPr>
          <w:spacing w:val="-11"/>
        </w:rPr>
        <w:t> </w:t>
      </w:r>
      <w:r>
        <w:rPr/>
        <w:t>Advocacy</w:t>
      </w:r>
      <w:r>
        <w:rPr>
          <w:spacing w:val="-13"/>
        </w:rPr>
        <w:t> </w:t>
      </w:r>
      <w:r>
        <w:rPr/>
        <w:t>Network Disability Belongs™</w:t>
      </w:r>
    </w:p>
    <w:p>
      <w:pPr>
        <w:pStyle w:val="BodyText"/>
        <w:ind w:left="124"/>
      </w:pPr>
      <w:r>
        <w:rPr/>
        <w:t>Disability</w:t>
      </w:r>
      <w:r>
        <w:rPr>
          <w:spacing w:val="-5"/>
        </w:rPr>
        <w:t> </w:t>
      </w:r>
      <w:r>
        <w:rPr/>
        <w:t>Rights</w:t>
      </w:r>
      <w:r>
        <w:rPr>
          <w:spacing w:val="-5"/>
        </w:rPr>
        <w:t> </w:t>
      </w:r>
      <w:r>
        <w:rPr/>
        <w:t>Education</w:t>
      </w:r>
      <w:r>
        <w:rPr>
          <w:spacing w:val="-6"/>
        </w:rPr>
        <w:t> </w:t>
      </w:r>
      <w:r>
        <w:rPr/>
        <w:t>and</w:t>
      </w:r>
      <w:r>
        <w:rPr>
          <w:spacing w:val="-6"/>
        </w:rPr>
        <w:t> </w:t>
      </w:r>
      <w:r>
        <w:rPr/>
        <w:t>Defense</w:t>
      </w:r>
      <w:r>
        <w:rPr>
          <w:spacing w:val="-6"/>
        </w:rPr>
        <w:t> </w:t>
      </w:r>
      <w:r>
        <w:rPr/>
        <w:t>Fund</w:t>
      </w:r>
      <w:r>
        <w:rPr>
          <w:spacing w:val="-7"/>
        </w:rPr>
        <w:t> </w:t>
      </w:r>
      <w:r>
        <w:rPr>
          <w:spacing w:val="-2"/>
        </w:rPr>
        <w:t>(DREDF)</w:t>
      </w:r>
    </w:p>
    <w:p>
      <w:pPr>
        <w:pStyle w:val="BodyText"/>
        <w:spacing w:line="276" w:lineRule="auto" w:before="37"/>
        <w:ind w:left="124" w:right="2929"/>
      </w:pPr>
      <w:r>
        <w:rPr/>
        <w:t>National Association of Councils on Developmental Disabilities (NACCD) National</w:t>
      </w:r>
      <w:r>
        <w:rPr>
          <w:spacing w:val="-5"/>
        </w:rPr>
        <w:t> </w:t>
      </w:r>
      <w:r>
        <w:rPr/>
        <w:t>Association</w:t>
      </w:r>
      <w:r>
        <w:rPr>
          <w:spacing w:val="-5"/>
        </w:rPr>
        <w:t> </w:t>
      </w:r>
      <w:r>
        <w:rPr/>
        <w:t>of</w:t>
      </w:r>
      <w:r>
        <w:rPr>
          <w:spacing w:val="-5"/>
        </w:rPr>
        <w:t> </w:t>
      </w:r>
      <w:r>
        <w:rPr/>
        <w:t>State</w:t>
      </w:r>
      <w:r>
        <w:rPr>
          <w:spacing w:val="-7"/>
        </w:rPr>
        <w:t> </w:t>
      </w:r>
      <w:r>
        <w:rPr/>
        <w:t>Directors</w:t>
      </w:r>
      <w:r>
        <w:rPr>
          <w:spacing w:val="-4"/>
        </w:rPr>
        <w:t> </w:t>
      </w:r>
      <w:r>
        <w:rPr/>
        <w:t>of</w:t>
      </w:r>
      <w:r>
        <w:rPr>
          <w:spacing w:val="-3"/>
        </w:rPr>
        <w:t> </w:t>
      </w:r>
      <w:r>
        <w:rPr/>
        <w:t>Developmental</w:t>
      </w:r>
      <w:r>
        <w:rPr>
          <w:spacing w:val="-5"/>
        </w:rPr>
        <w:t> </w:t>
      </w:r>
      <w:r>
        <w:rPr/>
        <w:t>Disabilities</w:t>
      </w:r>
      <w:r>
        <w:rPr>
          <w:spacing w:val="-4"/>
        </w:rPr>
        <w:t> </w:t>
      </w:r>
      <w:r>
        <w:rPr/>
        <w:t>Services National Center for Learning Disabilities</w:t>
      </w:r>
    </w:p>
    <w:p>
      <w:pPr>
        <w:pStyle w:val="BodyText"/>
        <w:spacing w:line="276" w:lineRule="auto"/>
        <w:ind w:left="124" w:right="6731"/>
      </w:pPr>
      <w:r>
        <w:rPr/>
        <w:t>National Disability Rights Network National</w:t>
      </w:r>
      <w:r>
        <w:rPr>
          <w:spacing w:val="-12"/>
        </w:rPr>
        <w:t> </w:t>
      </w:r>
      <w:r>
        <w:rPr/>
        <w:t>Down</w:t>
      </w:r>
      <w:r>
        <w:rPr>
          <w:spacing w:val="-12"/>
        </w:rPr>
        <w:t> </w:t>
      </w:r>
      <w:r>
        <w:rPr/>
        <w:t>Syndrome</w:t>
      </w:r>
      <w:r>
        <w:rPr>
          <w:spacing w:val="-12"/>
        </w:rPr>
        <w:t> </w:t>
      </w:r>
      <w:r>
        <w:rPr/>
        <w:t>Congress National Down Syndrome Society National Industries for the Blind</w:t>
      </w:r>
    </w:p>
    <w:p>
      <w:pPr>
        <w:pStyle w:val="BodyText"/>
        <w:spacing w:line="278" w:lineRule="auto"/>
        <w:ind w:left="124" w:right="5157"/>
      </w:pPr>
      <w:r>
        <w:rPr/>
        <w:t>National</w:t>
      </w:r>
      <w:r>
        <w:rPr>
          <w:spacing w:val="-7"/>
        </w:rPr>
        <w:t> </w:t>
      </w:r>
      <w:r>
        <w:rPr/>
        <w:t>Partnership</w:t>
      </w:r>
      <w:r>
        <w:rPr>
          <w:spacing w:val="-7"/>
        </w:rPr>
        <w:t> </w:t>
      </w:r>
      <w:r>
        <w:rPr/>
        <w:t>for</w:t>
      </w:r>
      <w:r>
        <w:rPr>
          <w:spacing w:val="-8"/>
        </w:rPr>
        <w:t> </w:t>
      </w:r>
      <w:r>
        <w:rPr/>
        <w:t>Women</w:t>
      </w:r>
      <w:r>
        <w:rPr>
          <w:spacing w:val="-9"/>
        </w:rPr>
        <w:t> </w:t>
      </w:r>
      <w:r>
        <w:rPr/>
        <w:t>&amp;</w:t>
      </w:r>
      <w:r>
        <w:rPr>
          <w:spacing w:val="-7"/>
        </w:rPr>
        <w:t> </w:t>
      </w:r>
      <w:r>
        <w:rPr/>
        <w:t>Families </w:t>
      </w:r>
      <w:r>
        <w:rPr>
          <w:spacing w:val="-2"/>
        </w:rPr>
        <w:t>SourceAmerica</w:t>
      </w:r>
    </w:p>
    <w:sectPr>
      <w:footerReference w:type="default" r:id="rId9"/>
      <w:pgSz w:w="12240" w:h="15840"/>
      <w:pgMar w:header="0" w:footer="804" w:top="940" w:bottom="1000" w:left="6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4320">
              <wp:simplePos x="0" y="0"/>
              <wp:positionH relativeFrom="page">
                <wp:posOffset>7224733</wp:posOffset>
              </wp:positionH>
              <wp:positionV relativeFrom="page">
                <wp:posOffset>9408227</wp:posOffset>
              </wp:positionV>
              <wp:extent cx="1035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3505" cy="182245"/>
                      </a:xfrm>
                      <a:prstGeom prst="rect">
                        <a:avLst/>
                      </a:prstGeom>
                    </wps:spPr>
                    <wps:txbx>
                      <w:txbxContent>
                        <w:p>
                          <w:pPr>
                            <w:pStyle w:val="BodyText"/>
                            <w:spacing w:before="13"/>
                            <w:ind w:left="20"/>
                          </w:pPr>
                          <w:r>
                            <w:rPr>
                              <w:spacing w:val="-1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8.876648pt;margin-top:740.805298pt;width:8.15pt;height:14.35pt;mso-position-horizontal-relative:page;mso-position-vertical-relative:page;z-index:-15772160" type="#_x0000_t202" id="docshape1" filled="false" stroked="false">
              <v:textbox inset="0,0,0,0">
                <w:txbxContent>
                  <w:p>
                    <w:pPr>
                      <w:pStyle w:val="BodyText"/>
                      <w:spacing w:before="13"/>
                      <w:ind w:left="20"/>
                    </w:pPr>
                    <w:r>
                      <w:rPr>
                        <w:spacing w:val="-1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4832">
              <wp:simplePos x="0" y="0"/>
              <wp:positionH relativeFrom="page">
                <wp:posOffset>6720283</wp:posOffset>
              </wp:positionH>
              <wp:positionV relativeFrom="page">
                <wp:posOffset>9408208</wp:posOffset>
              </wp:positionV>
              <wp:extent cx="609600" cy="1822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09600" cy="182245"/>
                      </a:xfrm>
                      <a:prstGeom prst="rect">
                        <a:avLst/>
                      </a:prstGeom>
                    </wps:spPr>
                    <wps:txbx>
                      <w:txbxContent>
                        <w:p>
                          <w:pPr>
                            <w:pStyle w:val="BodyText"/>
                            <w:spacing w:before="13"/>
                            <w:ind w:left="20"/>
                          </w:pPr>
                          <w:r>
                            <w:rPr/>
                            <w:t>pg. 2</w:t>
                          </w:r>
                          <w:r>
                            <w:rPr>
                              <w:spacing w:val="-2"/>
                            </w:rPr>
                            <w:t> </w:t>
                          </w:r>
                          <w:r>
                            <w:rPr/>
                            <w:t>of</w:t>
                          </w:r>
                          <w:r>
                            <w:rPr>
                              <w:spacing w:val="-1"/>
                            </w:rPr>
                            <w:t> </w:t>
                          </w:r>
                          <w:r>
                            <w:rPr>
                              <w:spacing w:val="-10"/>
                            </w:rPr>
                            <w:t>2</w:t>
                          </w:r>
                        </w:p>
                      </w:txbxContent>
                    </wps:txbx>
                    <wps:bodyPr wrap="square" lIns="0" tIns="0" rIns="0" bIns="0" rtlCol="0">
                      <a:noAutofit/>
                    </wps:bodyPr>
                  </wps:wsp>
                </a:graphicData>
              </a:graphic>
            </wp:anchor>
          </w:drawing>
        </mc:Choice>
        <mc:Fallback>
          <w:pict>
            <v:shape style="position:absolute;margin-left:529.156189pt;margin-top:740.803833pt;width:48pt;height:14.35pt;mso-position-horizontal-relative:page;mso-position-vertical-relative:page;z-index:-15771648" type="#_x0000_t202" id="docshape3" filled="false" stroked="false">
              <v:textbox inset="0,0,0,0">
                <w:txbxContent>
                  <w:p>
                    <w:pPr>
                      <w:pStyle w:val="BodyText"/>
                      <w:spacing w:before="13"/>
                      <w:ind w:left="20"/>
                    </w:pPr>
                    <w:r>
                      <w:rPr/>
                      <w:t>pg. 2</w:t>
                    </w:r>
                    <w:r>
                      <w:rPr>
                        <w:spacing w:val="-2"/>
                      </w:rPr>
                      <w:t> </w:t>
                    </w:r>
                    <w:r>
                      <w:rPr/>
                      <w:t>of</w:t>
                    </w:r>
                    <w:r>
                      <w:rPr>
                        <w:spacing w:val="-1"/>
                      </w:rPr>
                      <w:t> </w:t>
                    </w:r>
                    <w:r>
                      <w:rPr>
                        <w:spacing w:val="-10"/>
                      </w:rPr>
                      <w:t>2</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apse.org/wp-content/uploads/2024/08/APSE-14c-Update-REV-Jul24.pdf" TargetMode="External"/><Relationship Id="rId8" Type="http://schemas.openxmlformats.org/officeDocument/2006/relationships/hyperlink" Target="https://www.dol.gov/agencies/whd/workers-with-disabilities/section-14c/certificate-holders" TargetMode="External"/><Relationship Id="rId9" Type="http://schemas.openxmlformats.org/officeDocument/2006/relationships/footer" Target="footer2.xml"/><Relationship Id="rId10" Type="http://schemas.openxmlformats.org/officeDocument/2006/relationships/hyperlink" Target="mailto:julie@apse.org" TargetMode="External"/><Relationship Id="rId11" Type="http://schemas.openxmlformats.org/officeDocument/2006/relationships/hyperlink" Target="mailto:aepstein@sourceamerica.org" TargetMode="External"/><Relationship Id="rId12" Type="http://schemas.openxmlformats.org/officeDocument/2006/relationships/hyperlink" Target="mailto:rwebster@n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Epstein</dc:creator>
  <dcterms:created xsi:type="dcterms:W3CDTF">2024-09-12T05:09:24Z</dcterms:created>
  <dcterms:modified xsi:type="dcterms:W3CDTF">2024-09-12T05:09:24Z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Acrobat PDFMaker 24 for Word</vt:lpwstr>
  </property>
  <property fmtid="{D5CDD505-2E9C-101B-9397-08002B2CF9AE}" pid="4" name="LastSaved">
    <vt:filetime>2024-09-12T00:00:00Z</vt:filetime>
  </property>
  <property fmtid="{D5CDD505-2E9C-101B-9397-08002B2CF9AE}" pid="5" name="Producer">
    <vt:lpwstr>Adobe PDF Library 24.3.86</vt:lpwstr>
  </property>
  <property fmtid="{D5CDD505-2E9C-101B-9397-08002B2CF9AE}" pid="6" name="SourceModified">
    <vt:lpwstr>D:20240908160614</vt:lpwstr>
  </property>
</Properties>
</file>