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D7909" w:rsidRPr="002557CA" w:rsidRDefault="006A56AF">
      <w:pPr>
        <w:pBdr>
          <w:top w:val="nil"/>
          <w:left w:val="nil"/>
          <w:bottom w:val="nil"/>
          <w:right w:val="nil"/>
          <w:between w:val="nil"/>
        </w:pBdr>
        <w:spacing w:line="276" w:lineRule="auto"/>
        <w:rPr>
          <w:rFonts w:asciiTheme="minorHAnsi" w:hAnsiTheme="minorHAnsi" w:cstheme="minorHAnsi"/>
          <w:sz w:val="24"/>
          <w:szCs w:val="24"/>
        </w:rPr>
      </w:pPr>
      <w:r>
        <w:rPr>
          <w:rFonts w:asciiTheme="minorHAnsi" w:hAnsiTheme="minorHAnsi" w:cstheme="minorHAnsi"/>
          <w:sz w:val="24"/>
          <w:szCs w:val="24"/>
        </w:rPr>
        <w:pict w14:anchorId="1F720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June 10, 2024</w:t>
      </w:r>
    </w:p>
    <w:p w14:paraId="00000003"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04"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b/>
          <w:i/>
          <w:sz w:val="24"/>
          <w:szCs w:val="24"/>
        </w:rPr>
      </w:pPr>
      <w:r w:rsidRPr="00D028E4">
        <w:rPr>
          <w:rFonts w:ascii="Arial" w:eastAsia="Calibri" w:hAnsi="Arial" w:cs="Arial"/>
          <w:b/>
          <w:i/>
          <w:sz w:val="24"/>
          <w:szCs w:val="24"/>
        </w:rPr>
        <w:t>Submitted via regulations.gov</w:t>
      </w:r>
    </w:p>
    <w:p w14:paraId="00000005"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b/>
          <w:sz w:val="24"/>
          <w:szCs w:val="24"/>
        </w:rPr>
      </w:pPr>
    </w:p>
    <w:p w14:paraId="00000006"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Regulations Division</w:t>
      </w:r>
    </w:p>
    <w:p w14:paraId="00000007"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Office of General Counsel</w:t>
      </w:r>
    </w:p>
    <w:p w14:paraId="00000008"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U.S. Department of Housing and Urban Development</w:t>
      </w:r>
    </w:p>
    <w:p w14:paraId="00000009"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451 7th Street SW, Room 10276</w:t>
      </w:r>
    </w:p>
    <w:p w14:paraId="0000000A"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Washington, D.C. 20410-0500</w:t>
      </w:r>
    </w:p>
    <w:p w14:paraId="0000000B"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0C" w14:textId="00985510" w:rsidR="00CD7909" w:rsidRPr="00D028E4" w:rsidRDefault="00C5066B">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RE: Docket No. FR-6362-P-01</w:t>
      </w:r>
      <w:r w:rsidR="002557CA" w:rsidRPr="00D028E4">
        <w:rPr>
          <w:rFonts w:ascii="Arial" w:eastAsia="Calibri" w:hAnsi="Arial" w:cs="Arial"/>
          <w:b/>
          <w:sz w:val="24"/>
          <w:szCs w:val="24"/>
        </w:rPr>
        <w:t xml:space="preserve">, “Reducing Barriers to HUD-Assisted Housing” </w:t>
      </w:r>
    </w:p>
    <w:p w14:paraId="0000000D"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12" w14:textId="6699AD40" w:rsidR="00CD7909" w:rsidRPr="00D028E4" w:rsidRDefault="00C5066B">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sz w:val="24"/>
          <w:szCs w:val="24"/>
        </w:rPr>
        <w:t>Thank you for the opportunity to comment on the Department of Housing and Urban Development</w:t>
      </w:r>
      <w:r w:rsidR="00B03B0E" w:rsidRPr="00D028E4">
        <w:rPr>
          <w:rFonts w:ascii="Arial" w:eastAsia="Calibri" w:hAnsi="Arial" w:cs="Arial"/>
          <w:sz w:val="24"/>
          <w:szCs w:val="24"/>
        </w:rPr>
        <w:t xml:space="preserve"> (HUD)</w:t>
      </w:r>
      <w:r w:rsidRPr="00D028E4">
        <w:rPr>
          <w:rFonts w:ascii="Arial" w:eastAsia="Calibri" w:hAnsi="Arial" w:cs="Arial"/>
          <w:sz w:val="24"/>
          <w:szCs w:val="24"/>
        </w:rPr>
        <w:t xml:space="preserve">’s </w:t>
      </w:r>
      <w:r w:rsidR="004D283E" w:rsidRPr="00D028E4">
        <w:rPr>
          <w:rFonts w:ascii="Arial" w:eastAsia="Calibri" w:hAnsi="Arial" w:cs="Arial"/>
          <w:sz w:val="24"/>
          <w:szCs w:val="24"/>
        </w:rPr>
        <w:t xml:space="preserve">Notice of Proposed Rulemaking (NPRM) </w:t>
      </w:r>
      <w:r w:rsidR="006976B1" w:rsidRPr="00D028E4">
        <w:rPr>
          <w:rFonts w:ascii="Arial" w:eastAsia="Calibri" w:hAnsi="Arial" w:cs="Arial"/>
          <w:sz w:val="24"/>
          <w:szCs w:val="24"/>
        </w:rPr>
        <w:t xml:space="preserve">on </w:t>
      </w:r>
      <w:r w:rsidR="004D283E" w:rsidRPr="00D028E4">
        <w:rPr>
          <w:rFonts w:ascii="Arial" w:eastAsia="Calibri" w:hAnsi="Arial" w:cs="Arial"/>
          <w:sz w:val="24"/>
          <w:szCs w:val="24"/>
        </w:rPr>
        <w:t>reducing barriers to HUD-assisted housing.</w:t>
      </w:r>
      <w:r w:rsidR="00B03B0E" w:rsidRPr="00D028E4">
        <w:rPr>
          <w:rFonts w:ascii="Arial" w:eastAsia="Calibri" w:hAnsi="Arial" w:cs="Arial"/>
          <w:sz w:val="24"/>
          <w:szCs w:val="24"/>
        </w:rPr>
        <w:t xml:space="preserve"> The Consortium for Constituents with Disabilities (</w:t>
      </w:r>
      <w:r w:rsidRPr="00D028E4">
        <w:rPr>
          <w:rFonts w:ascii="Arial" w:eastAsia="Calibri" w:hAnsi="Arial" w:cs="Arial"/>
          <w:sz w:val="24"/>
          <w:szCs w:val="24"/>
        </w:rPr>
        <w:t>CCD</w:t>
      </w:r>
      <w:r w:rsidR="00B03B0E" w:rsidRPr="00D028E4">
        <w:rPr>
          <w:rFonts w:ascii="Arial" w:eastAsia="Calibri" w:hAnsi="Arial" w:cs="Arial"/>
          <w:sz w:val="24"/>
          <w:szCs w:val="24"/>
        </w:rPr>
        <w:t>)</w:t>
      </w:r>
      <w:r w:rsidRPr="00D028E4">
        <w:rPr>
          <w:rFonts w:ascii="Arial" w:eastAsia="Calibri" w:hAnsi="Arial" w:cs="Arial"/>
          <w:sz w:val="24"/>
          <w:szCs w:val="24"/>
        </w:rPr>
        <w:t xml:space="preserve"> is the largest coalition of national organizations working together to advocate for federal public policy that ensures the self-determination, independence, empowerment, integration, and inclusion of children and adults with disabilities in all aspects of a society free from racism, ableism, sexism, and xenophobia, as well as LGBTQ+ discrimination and religious intolerance. The CCD Housing Task Force (HTF) works to ensure that all people with disabilities have safe, stable, accessible, affordable, and integrated housing that enables people to live in communities of their choosing, with full access to home and community-based services and supports. These comments </w:t>
      </w:r>
      <w:r w:rsidR="008D2ABD" w:rsidRPr="00D028E4">
        <w:rPr>
          <w:rFonts w:ascii="Arial" w:eastAsia="Calibri" w:hAnsi="Arial" w:cs="Arial"/>
          <w:sz w:val="24"/>
          <w:szCs w:val="24"/>
        </w:rPr>
        <w:t xml:space="preserve">are submitted on behalf of the </w:t>
      </w:r>
      <w:r w:rsidRPr="00D028E4">
        <w:rPr>
          <w:rFonts w:ascii="Arial" w:eastAsia="Calibri" w:hAnsi="Arial" w:cs="Arial"/>
          <w:sz w:val="24"/>
          <w:szCs w:val="24"/>
        </w:rPr>
        <w:t>undersigned CCD HTF member organizations.</w:t>
      </w:r>
    </w:p>
    <w:p w14:paraId="00000013"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14" w14:textId="60F0053F" w:rsidR="00CD7909" w:rsidRPr="00D028E4" w:rsidRDefault="00C5066B">
      <w:pPr>
        <w:widowControl/>
        <w:pBdr>
          <w:top w:val="nil"/>
          <w:left w:val="nil"/>
          <w:bottom w:val="nil"/>
          <w:right w:val="nil"/>
          <w:between w:val="nil"/>
        </w:pBdr>
        <w:rPr>
          <w:rFonts w:ascii="Arial" w:eastAsia="Calibri" w:hAnsi="Arial" w:cs="Arial"/>
          <w:sz w:val="24"/>
          <w:szCs w:val="24"/>
        </w:rPr>
      </w:pPr>
      <w:r w:rsidRPr="00D028E4">
        <w:rPr>
          <w:rFonts w:ascii="Arial" w:eastAsia="Calibri" w:hAnsi="Arial" w:cs="Arial"/>
          <w:color w:val="000000"/>
          <w:sz w:val="24"/>
          <w:szCs w:val="24"/>
        </w:rPr>
        <w:t xml:space="preserve">We </w:t>
      </w:r>
      <w:r w:rsidR="00B018EB" w:rsidRPr="00D028E4">
        <w:rPr>
          <w:rFonts w:ascii="Arial" w:eastAsia="Calibri" w:hAnsi="Arial" w:cs="Arial"/>
          <w:color w:val="000000"/>
          <w:sz w:val="24"/>
          <w:szCs w:val="24"/>
        </w:rPr>
        <w:t xml:space="preserve">strongly </w:t>
      </w:r>
      <w:r w:rsidRPr="00D028E4">
        <w:rPr>
          <w:rFonts w:ascii="Arial" w:eastAsia="Calibri" w:hAnsi="Arial" w:cs="Arial"/>
          <w:color w:val="000000"/>
          <w:sz w:val="24"/>
          <w:szCs w:val="24"/>
        </w:rPr>
        <w:t>support HUD’s efforts to decrease barriers to HUD</w:t>
      </w:r>
      <w:r w:rsidR="001E3EF0" w:rsidRPr="00D028E4">
        <w:rPr>
          <w:rFonts w:ascii="Arial" w:eastAsia="Calibri" w:hAnsi="Arial" w:cs="Arial"/>
          <w:color w:val="000000"/>
          <w:sz w:val="24"/>
          <w:szCs w:val="24"/>
        </w:rPr>
        <w:t xml:space="preserve">-assisted housing </w:t>
      </w:r>
      <w:r w:rsidRPr="00D028E4">
        <w:rPr>
          <w:rFonts w:ascii="Arial" w:eastAsia="Calibri" w:hAnsi="Arial" w:cs="Arial"/>
          <w:color w:val="000000"/>
          <w:sz w:val="24"/>
          <w:szCs w:val="24"/>
        </w:rPr>
        <w:t xml:space="preserve">for </w:t>
      </w:r>
      <w:r w:rsidRPr="00D028E4">
        <w:rPr>
          <w:rFonts w:ascii="Arial" w:eastAsia="Calibri" w:hAnsi="Arial" w:cs="Arial"/>
          <w:sz w:val="24"/>
          <w:szCs w:val="24"/>
        </w:rPr>
        <w:t xml:space="preserve">people with arrest and conviction histories </w:t>
      </w:r>
      <w:r w:rsidRPr="00D028E4">
        <w:rPr>
          <w:rFonts w:ascii="Arial" w:eastAsia="Calibri" w:hAnsi="Arial" w:cs="Arial"/>
          <w:color w:val="000000"/>
          <w:sz w:val="24"/>
          <w:szCs w:val="24"/>
        </w:rPr>
        <w:t xml:space="preserve">in general, and also specifically because people with disabilities are disproportionately represented in this group. </w:t>
      </w:r>
      <w:r w:rsidRPr="00D028E4">
        <w:rPr>
          <w:rFonts w:ascii="Arial" w:eastAsia="Calibri" w:hAnsi="Arial" w:cs="Arial"/>
          <w:sz w:val="24"/>
          <w:szCs w:val="24"/>
        </w:rPr>
        <w:t xml:space="preserve">Among </w:t>
      </w:r>
      <w:r w:rsidRPr="00D028E4">
        <w:rPr>
          <w:rFonts w:ascii="Arial" w:eastAsia="Calibri" w:hAnsi="Arial" w:cs="Arial"/>
          <w:color w:val="000000"/>
          <w:sz w:val="24"/>
          <w:szCs w:val="24"/>
        </w:rPr>
        <w:t>two million people incarcerated in jails and prisons, approximately 800,000 have a mental illness, and 1.2 million have a substance use disorder</w:t>
      </w:r>
      <w:r w:rsidRPr="00D028E4">
        <w:rPr>
          <w:rFonts w:ascii="Arial" w:eastAsia="Calibri" w:hAnsi="Arial" w:cs="Arial"/>
          <w:color w:val="000000"/>
          <w:sz w:val="24"/>
          <w:szCs w:val="24"/>
          <w:vertAlign w:val="superscript"/>
        </w:rPr>
        <w:footnoteReference w:id="1"/>
      </w:r>
      <w:r w:rsidRPr="00D028E4">
        <w:rPr>
          <w:rFonts w:ascii="Arial" w:eastAsia="Calibri" w:hAnsi="Arial" w:cs="Arial"/>
          <w:color w:val="000000"/>
          <w:sz w:val="24"/>
          <w:szCs w:val="24"/>
        </w:rPr>
        <w:t>.  Approximately 66</w:t>
      </w:r>
      <w:r w:rsidRPr="00D028E4">
        <w:rPr>
          <w:rFonts w:ascii="Arial" w:eastAsia="Calibri" w:hAnsi="Arial" w:cs="Arial"/>
          <w:sz w:val="24"/>
          <w:szCs w:val="24"/>
        </w:rPr>
        <w:t xml:space="preserve">% </w:t>
      </w:r>
      <w:r w:rsidRPr="00D028E4">
        <w:rPr>
          <w:rFonts w:ascii="Arial" w:eastAsia="Calibri" w:hAnsi="Arial" w:cs="Arial"/>
          <w:color w:val="000000"/>
          <w:sz w:val="24"/>
          <w:szCs w:val="24"/>
        </w:rPr>
        <w:t xml:space="preserve">of incarcerated people self-report having a disability, </w:t>
      </w:r>
      <w:r w:rsidRPr="00D028E4">
        <w:rPr>
          <w:rFonts w:ascii="Arial" w:eastAsia="Calibri" w:hAnsi="Arial" w:cs="Arial"/>
          <w:sz w:val="24"/>
          <w:szCs w:val="24"/>
        </w:rPr>
        <w:t>and</w:t>
      </w:r>
      <w:r w:rsidRPr="00D028E4">
        <w:rPr>
          <w:rFonts w:ascii="Arial" w:eastAsia="Calibri" w:hAnsi="Arial" w:cs="Arial"/>
          <w:color w:val="000000"/>
          <w:sz w:val="24"/>
          <w:szCs w:val="24"/>
        </w:rPr>
        <w:t xml:space="preserve"> Black, Hispanic, and multiracial disabled men are especially overrepresented in prisons.</w:t>
      </w:r>
      <w:r w:rsidRPr="00D028E4">
        <w:rPr>
          <w:rFonts w:ascii="Arial" w:eastAsia="Calibri" w:hAnsi="Arial" w:cs="Arial"/>
          <w:color w:val="000000"/>
          <w:sz w:val="24"/>
          <w:szCs w:val="24"/>
          <w:vertAlign w:val="superscript"/>
        </w:rPr>
        <w:footnoteReference w:id="2"/>
      </w:r>
      <w:r w:rsidRPr="00D028E4">
        <w:rPr>
          <w:rFonts w:ascii="Arial" w:eastAsia="Calibri" w:hAnsi="Arial" w:cs="Arial"/>
          <w:color w:val="000000"/>
          <w:sz w:val="24"/>
          <w:szCs w:val="24"/>
        </w:rPr>
        <w:t xml:space="preserve"> In addition, </w:t>
      </w:r>
      <w:r w:rsidRPr="00D028E4">
        <w:rPr>
          <w:rFonts w:ascii="Arial" w:eastAsia="Calibri" w:hAnsi="Arial" w:cs="Arial"/>
          <w:sz w:val="24"/>
          <w:szCs w:val="24"/>
        </w:rPr>
        <w:t>like the general population, the prison population is rapidly aging.</w:t>
      </w:r>
      <w:r w:rsidRPr="00D028E4">
        <w:rPr>
          <w:rFonts w:ascii="Arial" w:eastAsia="Calibri" w:hAnsi="Arial" w:cs="Arial"/>
          <w:sz w:val="24"/>
          <w:szCs w:val="24"/>
          <w:vertAlign w:val="superscript"/>
        </w:rPr>
        <w:footnoteReference w:id="3"/>
      </w:r>
      <w:r w:rsidRPr="00D028E4">
        <w:rPr>
          <w:rFonts w:ascii="Arial" w:eastAsia="Calibri" w:hAnsi="Arial" w:cs="Arial"/>
          <w:sz w:val="24"/>
          <w:szCs w:val="24"/>
        </w:rPr>
        <w:t xml:space="preserve"> Older adults in prison are more likely to have disabilities, with over 50% of those ages 55-64 and around 70% of those 65 and older having a disability.</w:t>
      </w:r>
      <w:r w:rsidRPr="00D028E4">
        <w:rPr>
          <w:rFonts w:ascii="Arial" w:eastAsia="Calibri" w:hAnsi="Arial" w:cs="Arial"/>
          <w:sz w:val="24"/>
          <w:szCs w:val="24"/>
          <w:vertAlign w:val="superscript"/>
        </w:rPr>
        <w:footnoteReference w:id="4"/>
      </w:r>
      <w:r w:rsidRPr="00D028E4">
        <w:rPr>
          <w:rFonts w:ascii="Arial" w:eastAsia="Calibri" w:hAnsi="Arial" w:cs="Arial"/>
          <w:sz w:val="24"/>
          <w:szCs w:val="24"/>
        </w:rPr>
        <w:t xml:space="preserve"> </w:t>
      </w:r>
    </w:p>
    <w:p w14:paraId="00000015" w14:textId="77777777" w:rsidR="00CD7909" w:rsidRPr="00D028E4" w:rsidRDefault="00CD7909">
      <w:pPr>
        <w:widowControl/>
        <w:pBdr>
          <w:top w:val="nil"/>
          <w:left w:val="nil"/>
          <w:bottom w:val="nil"/>
          <w:right w:val="nil"/>
          <w:between w:val="nil"/>
        </w:pBdr>
        <w:rPr>
          <w:rFonts w:ascii="Arial" w:eastAsia="Calibri" w:hAnsi="Arial" w:cs="Arial"/>
          <w:sz w:val="24"/>
          <w:szCs w:val="24"/>
        </w:rPr>
      </w:pPr>
    </w:p>
    <w:p w14:paraId="00000018" w14:textId="556F905F" w:rsidR="00CD7909" w:rsidRPr="00D028E4" w:rsidRDefault="00BA3751" w:rsidP="00AB4620">
      <w:pPr>
        <w:widowControl/>
        <w:pBdr>
          <w:top w:val="nil"/>
          <w:left w:val="nil"/>
          <w:bottom w:val="nil"/>
          <w:right w:val="nil"/>
          <w:between w:val="nil"/>
        </w:pBdr>
        <w:rPr>
          <w:rFonts w:ascii="Arial" w:eastAsia="Calibri" w:hAnsi="Arial" w:cs="Arial"/>
          <w:color w:val="000000"/>
          <w:sz w:val="24"/>
          <w:szCs w:val="24"/>
        </w:rPr>
      </w:pPr>
      <w:r w:rsidRPr="00D028E4">
        <w:rPr>
          <w:rFonts w:ascii="Arial" w:eastAsia="Calibri" w:hAnsi="Arial" w:cs="Arial"/>
          <w:color w:val="000000"/>
          <w:sz w:val="24"/>
          <w:szCs w:val="24"/>
        </w:rPr>
        <w:t xml:space="preserve">People with disabilities, particularly those experiencing homelessness, are vulnerable to frequent interactions with law enforcement that lead to cycles of unnecessary institutionalization. </w:t>
      </w:r>
      <w:r w:rsidR="00C5066B" w:rsidRPr="00D028E4">
        <w:rPr>
          <w:rFonts w:ascii="Arial" w:eastAsia="Calibri" w:hAnsi="Arial" w:cs="Arial"/>
          <w:color w:val="000000"/>
          <w:sz w:val="24"/>
          <w:szCs w:val="24"/>
        </w:rPr>
        <w:t>Before their current incarceration, 83% of people in state and federal prisons reported previously residing in another institution, such as other correctional settings and psychiatric hospitals.</w:t>
      </w:r>
      <w:r w:rsidR="00C5066B" w:rsidRPr="00D028E4">
        <w:rPr>
          <w:rFonts w:ascii="Arial" w:eastAsia="Calibri" w:hAnsi="Arial" w:cs="Arial"/>
          <w:sz w:val="24"/>
          <w:szCs w:val="24"/>
          <w:vertAlign w:val="superscript"/>
        </w:rPr>
        <w:footnoteReference w:id="5"/>
      </w:r>
      <w:r w:rsidR="00C5066B" w:rsidRPr="00D028E4">
        <w:rPr>
          <w:rFonts w:ascii="Arial" w:eastAsia="Calibri" w:hAnsi="Arial" w:cs="Arial"/>
          <w:color w:val="000000"/>
          <w:sz w:val="24"/>
          <w:szCs w:val="24"/>
        </w:rPr>
        <w:t xml:space="preserve"> People with </w:t>
      </w:r>
      <w:r w:rsidR="00C5066B" w:rsidRPr="00D028E4">
        <w:rPr>
          <w:rFonts w:ascii="Arial" w:eastAsia="Calibri" w:hAnsi="Arial" w:cs="Arial"/>
          <w:sz w:val="24"/>
          <w:szCs w:val="24"/>
        </w:rPr>
        <w:t xml:space="preserve">disabilities </w:t>
      </w:r>
      <w:r w:rsidR="00C5066B" w:rsidRPr="00D028E4">
        <w:rPr>
          <w:rFonts w:ascii="Arial" w:eastAsia="Calibri" w:hAnsi="Arial" w:cs="Arial"/>
          <w:color w:val="000000"/>
          <w:sz w:val="24"/>
          <w:szCs w:val="24"/>
        </w:rPr>
        <w:t xml:space="preserve">who are incarcerated — </w:t>
      </w:r>
      <w:r w:rsidR="00A22A75" w:rsidRPr="00D028E4">
        <w:rPr>
          <w:rFonts w:ascii="Arial" w:eastAsia="Calibri" w:hAnsi="Arial" w:cs="Arial"/>
          <w:color w:val="000000"/>
          <w:sz w:val="24"/>
          <w:szCs w:val="24"/>
        </w:rPr>
        <w:t>often</w:t>
      </w:r>
      <w:r w:rsidR="00C5066B" w:rsidRPr="00D028E4">
        <w:rPr>
          <w:rFonts w:ascii="Arial" w:eastAsia="Calibri" w:hAnsi="Arial" w:cs="Arial"/>
          <w:color w:val="000000"/>
          <w:sz w:val="24"/>
          <w:szCs w:val="24"/>
        </w:rPr>
        <w:t xml:space="preserve"> for petty misdemeanor offenses </w:t>
      </w:r>
      <w:r w:rsidRPr="00D028E4">
        <w:rPr>
          <w:rFonts w:ascii="Arial" w:eastAsia="Calibri" w:hAnsi="Arial" w:cs="Arial"/>
          <w:color w:val="000000"/>
          <w:sz w:val="24"/>
          <w:szCs w:val="24"/>
        </w:rPr>
        <w:t xml:space="preserve">that target people experiencing </w:t>
      </w:r>
      <w:r w:rsidR="00C5066B" w:rsidRPr="00D028E4">
        <w:rPr>
          <w:rFonts w:ascii="Arial" w:eastAsia="Calibri" w:hAnsi="Arial" w:cs="Arial"/>
          <w:color w:val="000000"/>
          <w:sz w:val="24"/>
          <w:szCs w:val="24"/>
        </w:rPr>
        <w:t>homelessness —</w:t>
      </w:r>
      <w:r w:rsidR="00893DFA" w:rsidRPr="00D028E4">
        <w:rPr>
          <w:rFonts w:ascii="Arial" w:eastAsia="Calibri" w:hAnsi="Arial" w:cs="Arial"/>
          <w:color w:val="000000"/>
          <w:sz w:val="24"/>
          <w:szCs w:val="24"/>
        </w:rPr>
        <w:t xml:space="preserve"> </w:t>
      </w:r>
      <w:r w:rsidR="00893DFA" w:rsidRPr="00D028E4">
        <w:rPr>
          <w:rFonts w:ascii="Arial" w:eastAsia="Calibri" w:hAnsi="Arial" w:cs="Arial"/>
          <w:sz w:val="24"/>
          <w:szCs w:val="24"/>
        </w:rPr>
        <w:t xml:space="preserve">are often </w:t>
      </w:r>
      <w:r w:rsidR="001C1489" w:rsidRPr="00D028E4">
        <w:rPr>
          <w:rFonts w:ascii="Arial" w:eastAsia="Calibri" w:hAnsi="Arial" w:cs="Arial"/>
          <w:sz w:val="24"/>
          <w:szCs w:val="24"/>
        </w:rPr>
        <w:t xml:space="preserve">repeatedly </w:t>
      </w:r>
      <w:r w:rsidR="00893DFA" w:rsidRPr="00D028E4">
        <w:rPr>
          <w:rFonts w:ascii="Arial" w:eastAsia="Calibri" w:hAnsi="Arial" w:cs="Arial"/>
          <w:sz w:val="24"/>
          <w:szCs w:val="24"/>
        </w:rPr>
        <w:t xml:space="preserve">criminalized </w:t>
      </w:r>
      <w:r w:rsidR="00C5066B" w:rsidRPr="00D028E4">
        <w:rPr>
          <w:rFonts w:ascii="Arial" w:eastAsia="Calibri" w:hAnsi="Arial" w:cs="Arial"/>
          <w:color w:val="000000"/>
          <w:sz w:val="24"/>
          <w:szCs w:val="24"/>
        </w:rPr>
        <w:t>due to a lack of affordable housing</w:t>
      </w:r>
      <w:r w:rsidR="00C5066B" w:rsidRPr="00D028E4">
        <w:rPr>
          <w:rFonts w:ascii="Arial" w:eastAsia="Calibri" w:hAnsi="Arial" w:cs="Arial"/>
          <w:sz w:val="24"/>
          <w:szCs w:val="24"/>
        </w:rPr>
        <w:t xml:space="preserve"> and supportive services, with law </w:t>
      </w:r>
      <w:r w:rsidR="00C5066B" w:rsidRPr="00D028E4">
        <w:rPr>
          <w:rFonts w:ascii="Arial" w:eastAsia="Calibri" w:hAnsi="Arial" w:cs="Arial"/>
          <w:color w:val="000000"/>
          <w:sz w:val="24"/>
          <w:szCs w:val="24"/>
        </w:rPr>
        <w:t xml:space="preserve">enforcement </w:t>
      </w:r>
      <w:r w:rsidR="00CF4E59" w:rsidRPr="00D028E4">
        <w:rPr>
          <w:rFonts w:ascii="Arial" w:eastAsia="Calibri" w:hAnsi="Arial" w:cs="Arial"/>
          <w:sz w:val="24"/>
          <w:szCs w:val="24"/>
        </w:rPr>
        <w:t xml:space="preserve">serving </w:t>
      </w:r>
      <w:r w:rsidR="00C5066B" w:rsidRPr="00D028E4">
        <w:rPr>
          <w:rFonts w:ascii="Arial" w:eastAsia="Calibri" w:hAnsi="Arial" w:cs="Arial"/>
          <w:sz w:val="24"/>
          <w:szCs w:val="24"/>
        </w:rPr>
        <w:t xml:space="preserve">as a </w:t>
      </w:r>
      <w:r w:rsidR="00C5066B" w:rsidRPr="00D028E4">
        <w:rPr>
          <w:rFonts w:ascii="Arial" w:eastAsia="Calibri" w:hAnsi="Arial" w:cs="Arial"/>
          <w:color w:val="000000"/>
          <w:sz w:val="24"/>
          <w:szCs w:val="24"/>
        </w:rPr>
        <w:t>de facto crisis intervention system</w:t>
      </w:r>
      <w:r w:rsidR="00C5066B" w:rsidRPr="00D028E4">
        <w:rPr>
          <w:rFonts w:ascii="Arial" w:eastAsia="Calibri" w:hAnsi="Arial" w:cs="Arial"/>
          <w:sz w:val="24"/>
          <w:szCs w:val="24"/>
        </w:rPr>
        <w:t>.</w:t>
      </w:r>
      <w:r w:rsidR="00A650BD" w:rsidRPr="00D028E4">
        <w:rPr>
          <w:rStyle w:val="FootnoteReference"/>
          <w:rFonts w:ascii="Arial" w:eastAsia="Calibri" w:hAnsi="Arial" w:cs="Arial"/>
          <w:sz w:val="24"/>
          <w:szCs w:val="24"/>
        </w:rPr>
        <w:footnoteReference w:id="6"/>
      </w:r>
      <w:r w:rsidR="00C5066B" w:rsidRPr="00D028E4">
        <w:rPr>
          <w:rFonts w:ascii="Arial" w:eastAsia="Calibri" w:hAnsi="Arial" w:cs="Arial"/>
          <w:sz w:val="24"/>
          <w:szCs w:val="24"/>
        </w:rPr>
        <w:t xml:space="preserve"> </w:t>
      </w:r>
      <w:r w:rsidR="00CF4E59" w:rsidRPr="00D028E4">
        <w:rPr>
          <w:rFonts w:ascii="Arial" w:eastAsia="Calibri" w:hAnsi="Arial" w:cs="Arial"/>
          <w:sz w:val="24"/>
          <w:szCs w:val="24"/>
        </w:rPr>
        <w:t xml:space="preserve">We are </w:t>
      </w:r>
      <w:r w:rsidR="00C5066B" w:rsidRPr="00D028E4">
        <w:rPr>
          <w:rFonts w:ascii="Arial" w:eastAsia="Calibri" w:hAnsi="Arial" w:cs="Arial"/>
          <w:sz w:val="24"/>
          <w:szCs w:val="24"/>
        </w:rPr>
        <w:t xml:space="preserve">hopeful that </w:t>
      </w:r>
      <w:r w:rsidR="00CF4E59" w:rsidRPr="00D028E4">
        <w:rPr>
          <w:rFonts w:ascii="Arial" w:eastAsia="Calibri" w:hAnsi="Arial" w:cs="Arial"/>
          <w:sz w:val="24"/>
          <w:szCs w:val="24"/>
        </w:rPr>
        <w:t xml:space="preserve">HUD’s new rule </w:t>
      </w:r>
      <w:r w:rsidR="00C5066B" w:rsidRPr="00D028E4">
        <w:rPr>
          <w:rFonts w:ascii="Arial" w:eastAsia="Calibri" w:hAnsi="Arial" w:cs="Arial"/>
          <w:sz w:val="24"/>
          <w:szCs w:val="24"/>
        </w:rPr>
        <w:t>will help disrupt this cycle by increasing access to housing for people with disabilities with histories of incarceration or criminal records.</w:t>
      </w:r>
    </w:p>
    <w:p w14:paraId="00000019"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7208C065" w14:textId="62DDE744" w:rsidR="00F13CAA" w:rsidRPr="00D028E4" w:rsidRDefault="00F13CAA" w:rsidP="00864BC8">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 xml:space="preserve">Question #3: </w:t>
      </w:r>
      <w:r w:rsidR="00864BC8" w:rsidRPr="00D028E4">
        <w:rPr>
          <w:rFonts w:ascii="Arial" w:eastAsia="Calibri" w:hAnsi="Arial" w:cs="Arial"/>
          <w:b/>
          <w:iCs/>
          <w:sz w:val="24"/>
          <w:szCs w:val="24"/>
        </w:rPr>
        <w:t>Opportunity to dispute criminal records relied upon by PHA or owner (Denials).</w:t>
      </w:r>
      <w:r w:rsidR="00864BC8" w:rsidRPr="00D028E4">
        <w:rPr>
          <w:rFonts w:ascii="Arial" w:eastAsia="Calibri" w:hAnsi="Arial" w:cs="Arial"/>
          <w:b/>
          <w:i/>
          <w:iCs/>
          <w:sz w:val="24"/>
          <w:szCs w:val="24"/>
        </w:rPr>
        <w:t xml:space="preserve"> </w:t>
      </w:r>
      <w:r w:rsidR="00864BC8" w:rsidRPr="00D028E4">
        <w:rPr>
          <w:rFonts w:ascii="Arial" w:eastAsia="Calibri" w:hAnsi="Arial" w:cs="Arial"/>
          <w:i/>
          <w:sz w:val="24"/>
          <w:szCs w:val="24"/>
        </w:rPr>
        <w:t>The proposed rule would provide that PHAs and owners provide applicants</w:t>
      </w:r>
      <w:r w:rsidR="00864BC8" w:rsidRPr="00D028E4">
        <w:rPr>
          <w:rFonts w:ascii="Arial" w:eastAsia="Calibri" w:hAnsi="Arial" w:cs="Arial"/>
          <w:i/>
          <w:iCs/>
          <w:sz w:val="24"/>
          <w:szCs w:val="24"/>
        </w:rPr>
        <w:t xml:space="preserve"> </w:t>
      </w:r>
      <w:r w:rsidR="00864BC8" w:rsidRPr="00D028E4">
        <w:rPr>
          <w:rFonts w:ascii="Arial" w:eastAsia="Calibri" w:hAnsi="Arial" w:cs="Arial"/>
          <w:i/>
          <w:sz w:val="24"/>
          <w:szCs w:val="24"/>
        </w:rPr>
        <w:t>with relevant criminal records no fewer than 15 days prior to notification of a denial of</w:t>
      </w:r>
      <w:r w:rsidR="00864BC8" w:rsidRPr="00D028E4">
        <w:rPr>
          <w:rFonts w:ascii="Arial" w:eastAsia="Calibri" w:hAnsi="Arial" w:cs="Arial"/>
          <w:i/>
          <w:iCs/>
          <w:sz w:val="24"/>
          <w:szCs w:val="24"/>
        </w:rPr>
        <w:t xml:space="preserve"> </w:t>
      </w:r>
      <w:r w:rsidR="00864BC8" w:rsidRPr="00D028E4">
        <w:rPr>
          <w:rFonts w:ascii="Arial" w:eastAsia="Calibri" w:hAnsi="Arial" w:cs="Arial"/>
          <w:i/>
          <w:sz w:val="24"/>
          <w:szCs w:val="24"/>
        </w:rPr>
        <w:t>admission, as well as an opportunity to dispute the accuracy and relevance of the records relied</w:t>
      </w:r>
      <w:r w:rsidR="00864BC8" w:rsidRPr="00D028E4">
        <w:rPr>
          <w:rFonts w:ascii="Arial" w:eastAsia="Calibri" w:hAnsi="Arial" w:cs="Arial"/>
          <w:i/>
          <w:iCs/>
          <w:sz w:val="24"/>
          <w:szCs w:val="24"/>
        </w:rPr>
        <w:t xml:space="preserve"> </w:t>
      </w:r>
      <w:r w:rsidR="00864BC8" w:rsidRPr="00D028E4">
        <w:rPr>
          <w:rFonts w:ascii="Arial" w:eastAsia="Calibri" w:hAnsi="Arial" w:cs="Arial"/>
          <w:i/>
          <w:sz w:val="24"/>
          <w:szCs w:val="24"/>
        </w:rPr>
        <w:t>upon. Is 15 days prior to notification of a denial of admission an appropriate timeframe? Do the</w:t>
      </w:r>
      <w:r w:rsidR="00864BC8" w:rsidRPr="00D028E4">
        <w:rPr>
          <w:rFonts w:ascii="Arial" w:eastAsia="Calibri" w:hAnsi="Arial" w:cs="Arial"/>
          <w:i/>
          <w:iCs/>
          <w:sz w:val="24"/>
          <w:szCs w:val="24"/>
        </w:rPr>
        <w:t xml:space="preserve"> </w:t>
      </w:r>
      <w:r w:rsidR="00864BC8" w:rsidRPr="00D028E4">
        <w:rPr>
          <w:rFonts w:ascii="Arial" w:eastAsia="Calibri" w:hAnsi="Arial" w:cs="Arial"/>
          <w:i/>
          <w:sz w:val="24"/>
          <w:szCs w:val="24"/>
        </w:rPr>
        <w:t>processes described in §§ 5.855(c), 882.518, 960.204, and 982.553 adequately balance the needs of applicants and housing providers? If not, what additional processes or measures would be helpful?</w:t>
      </w:r>
    </w:p>
    <w:p w14:paraId="75FDFA56" w14:textId="3D43A14F" w:rsidR="00864BC8" w:rsidRPr="00D028E4" w:rsidRDefault="00864BC8" w:rsidP="00864BC8">
      <w:pPr>
        <w:pBdr>
          <w:top w:val="nil"/>
          <w:left w:val="nil"/>
          <w:bottom w:val="nil"/>
          <w:right w:val="nil"/>
          <w:between w:val="nil"/>
        </w:pBdr>
        <w:tabs>
          <w:tab w:val="left" w:pos="10080"/>
        </w:tabs>
        <w:spacing w:before="3"/>
        <w:rPr>
          <w:rFonts w:ascii="Arial" w:eastAsia="Calibri" w:hAnsi="Arial" w:cs="Arial"/>
          <w:b/>
          <w:iCs/>
          <w:sz w:val="24"/>
          <w:szCs w:val="24"/>
        </w:rPr>
      </w:pPr>
    </w:p>
    <w:p w14:paraId="66902DC3" w14:textId="7F126CA3" w:rsidR="000D2370" w:rsidRPr="00D028E4" w:rsidRDefault="000D2370" w:rsidP="00864BC8">
      <w:pPr>
        <w:pBdr>
          <w:top w:val="nil"/>
          <w:left w:val="nil"/>
          <w:bottom w:val="nil"/>
          <w:right w:val="nil"/>
          <w:between w:val="nil"/>
        </w:pBdr>
        <w:tabs>
          <w:tab w:val="left" w:pos="10080"/>
        </w:tabs>
        <w:spacing w:before="3"/>
        <w:rPr>
          <w:rFonts w:ascii="Arial" w:eastAsia="Calibri" w:hAnsi="Arial" w:cs="Arial"/>
          <w:b/>
          <w:iCs/>
          <w:sz w:val="24"/>
          <w:szCs w:val="24"/>
        </w:rPr>
      </w:pPr>
      <w:r w:rsidRPr="00D028E4">
        <w:rPr>
          <w:rFonts w:ascii="Arial" w:eastAsia="MS Mincho" w:hAnsi="Arial" w:cs="Arial"/>
          <w:sz w:val="24"/>
          <w:szCs w:val="24"/>
        </w:rPr>
        <w:t xml:space="preserve">HUD should require notice that is in writing and includes information about how to request reasonable accommodations, particularly since this rule </w:t>
      </w:r>
      <w:r w:rsidR="001926E3" w:rsidRPr="00D028E4">
        <w:rPr>
          <w:rFonts w:ascii="Arial" w:eastAsia="MS Mincho" w:hAnsi="Arial" w:cs="Arial"/>
          <w:sz w:val="24"/>
          <w:szCs w:val="24"/>
        </w:rPr>
        <w:t>specifies that</w:t>
      </w:r>
      <w:r w:rsidRPr="00D028E4">
        <w:rPr>
          <w:rFonts w:ascii="Arial" w:eastAsia="MS Mincho" w:hAnsi="Arial" w:cs="Arial"/>
          <w:sz w:val="24"/>
          <w:szCs w:val="24"/>
        </w:rPr>
        <w:t xml:space="preserve"> PHAs and owners </w:t>
      </w:r>
      <w:r w:rsidR="001926E3" w:rsidRPr="00D028E4">
        <w:rPr>
          <w:rFonts w:ascii="Arial" w:eastAsia="MS Mincho" w:hAnsi="Arial" w:cs="Arial"/>
          <w:sz w:val="24"/>
          <w:szCs w:val="24"/>
        </w:rPr>
        <w:t xml:space="preserve">must </w:t>
      </w:r>
      <w:r w:rsidRPr="00D028E4">
        <w:rPr>
          <w:rFonts w:ascii="Arial" w:eastAsia="MS Mincho" w:hAnsi="Arial" w:cs="Arial"/>
          <w:sz w:val="24"/>
          <w:szCs w:val="24"/>
        </w:rPr>
        <w:t>consider whether they may need to provide reasonable accommodations for disability-related records and conduct. We also believe HUD should extend the notice period from 15 days to at least 30 days. A 15-day notice period is especially inadequate for older adults and people with disabilities, who often have more difficulty navigating administrative b</w:t>
      </w:r>
      <w:r w:rsidR="000E28F8">
        <w:rPr>
          <w:rFonts w:ascii="Arial" w:eastAsia="MS Mincho" w:hAnsi="Arial" w:cs="Arial"/>
          <w:sz w:val="24"/>
          <w:szCs w:val="24"/>
        </w:rPr>
        <w:t>arriers</w:t>
      </w:r>
      <w:r w:rsidRPr="00D028E4">
        <w:rPr>
          <w:rFonts w:ascii="Arial" w:eastAsia="MS Mincho" w:hAnsi="Arial" w:cs="Arial"/>
          <w:sz w:val="24"/>
          <w:szCs w:val="24"/>
        </w:rPr>
        <w:t xml:space="preserve"> and may need more assistance responding to notices. </w:t>
      </w:r>
    </w:p>
    <w:p w14:paraId="370EF0E2" w14:textId="77777777" w:rsidR="00F13CAA" w:rsidRPr="00D028E4" w:rsidRDefault="00F13CAA">
      <w:pPr>
        <w:pBdr>
          <w:top w:val="nil"/>
          <w:left w:val="nil"/>
          <w:bottom w:val="nil"/>
          <w:right w:val="nil"/>
          <w:between w:val="nil"/>
        </w:pBdr>
        <w:tabs>
          <w:tab w:val="left" w:pos="10080"/>
        </w:tabs>
        <w:spacing w:before="3"/>
        <w:rPr>
          <w:rFonts w:ascii="Arial" w:eastAsia="Calibri" w:hAnsi="Arial" w:cs="Arial"/>
          <w:b/>
          <w:sz w:val="24"/>
          <w:szCs w:val="24"/>
        </w:rPr>
      </w:pPr>
    </w:p>
    <w:p w14:paraId="0000001A" w14:textId="7107B310"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b/>
          <w:sz w:val="24"/>
          <w:szCs w:val="24"/>
        </w:rPr>
        <w:t>Question #4: Mitigating factors.</w:t>
      </w:r>
      <w:r w:rsidRPr="00D028E4">
        <w:rPr>
          <w:rFonts w:ascii="Arial" w:eastAsia="Calibri" w:hAnsi="Arial" w:cs="Arial"/>
          <w:sz w:val="24"/>
          <w:szCs w:val="24"/>
        </w:rPr>
        <w:t xml:space="preserve"> </w:t>
      </w:r>
      <w:r w:rsidRPr="00D028E4">
        <w:rPr>
          <w:rFonts w:ascii="Arial" w:eastAsia="Calibri" w:hAnsi="Arial" w:cs="Arial"/>
          <w:i/>
          <w:sz w:val="24"/>
          <w:szCs w:val="24"/>
        </w:rPr>
        <w:t>The proposed rule would provide that PHAs and owners consider the following set of mitigating factors when a decision to deny or terminate assistance or to evict is predicated on consideration of a criminal record: the facts or circumstances surrounding the criminal conduct, the age of the individual at the time of the conduct, evidence that the individual has maintained a good tenant history before and/or after the criminal conviction or the criminal conduct, and evidence of rehabilitation efforts. Are there other mitigating factors that should be considered? Should HUD define these mitigating factors in greater detail in regulation or guidance? Please provide suggested definitions or standards.</w:t>
      </w:r>
    </w:p>
    <w:p w14:paraId="0000001B" w14:textId="65B36AA6"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2F0F4549" w14:textId="63801E2A" w:rsidR="003521D2" w:rsidRPr="00D028E4" w:rsidRDefault="003521D2">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Household Members’ Medical Conditions</w:t>
      </w:r>
    </w:p>
    <w:p w14:paraId="45120F25" w14:textId="77777777" w:rsidR="003521D2" w:rsidRPr="00D028E4" w:rsidRDefault="003521D2">
      <w:pPr>
        <w:pBdr>
          <w:top w:val="nil"/>
          <w:left w:val="nil"/>
          <w:bottom w:val="nil"/>
          <w:right w:val="nil"/>
          <w:between w:val="nil"/>
        </w:pBdr>
        <w:tabs>
          <w:tab w:val="left" w:pos="10080"/>
        </w:tabs>
        <w:spacing w:before="3"/>
        <w:rPr>
          <w:rFonts w:ascii="Arial" w:eastAsia="Calibri" w:hAnsi="Arial" w:cs="Arial"/>
          <w:b/>
          <w:sz w:val="24"/>
          <w:szCs w:val="24"/>
        </w:rPr>
      </w:pPr>
    </w:p>
    <w:sdt>
      <w:sdtPr>
        <w:rPr>
          <w:rFonts w:ascii="Arial" w:hAnsi="Arial" w:cs="Arial"/>
          <w:sz w:val="24"/>
          <w:szCs w:val="24"/>
        </w:rPr>
        <w:tag w:val="goog_rdk_5"/>
        <w:id w:val="-1327739212"/>
      </w:sdtPr>
      <w:sdtEndPr/>
      <w:sdtContent>
        <w:p w14:paraId="17A3537E" w14:textId="2A1DAF9F" w:rsidR="00F46299" w:rsidRPr="00D028E4" w:rsidRDefault="00583186">
          <w:pPr>
            <w:pBdr>
              <w:top w:val="nil"/>
              <w:left w:val="nil"/>
              <w:bottom w:val="nil"/>
              <w:right w:val="nil"/>
              <w:between w:val="nil"/>
            </w:pBdr>
            <w:tabs>
              <w:tab w:val="left" w:pos="10080"/>
            </w:tabs>
            <w:spacing w:before="3"/>
            <w:rPr>
              <w:rFonts w:ascii="Arial" w:hAnsi="Arial" w:cs="Arial"/>
              <w:sz w:val="24"/>
              <w:szCs w:val="24"/>
            </w:rPr>
          </w:pPr>
          <w:r w:rsidRPr="00D028E4">
            <w:rPr>
              <w:rFonts w:ascii="Arial" w:hAnsi="Arial" w:cs="Arial"/>
              <w:sz w:val="24"/>
              <w:szCs w:val="24"/>
            </w:rPr>
            <w:t xml:space="preserve">We support the proposed rule’s requirement for housing providers to consider mitigating circumstances related to a household member’s medical condition, and we recommend further </w:t>
          </w:r>
          <w:r w:rsidRPr="00D028E4">
            <w:rPr>
              <w:rFonts w:ascii="Arial" w:hAnsi="Arial" w:cs="Arial"/>
              <w:sz w:val="24"/>
              <w:szCs w:val="24"/>
            </w:rPr>
            <w:lastRenderedPageBreak/>
            <w:t xml:space="preserve">clarification and guidance on this issue. The lack of stable housing can worsen health conditions and heighten </w:t>
          </w:r>
          <w:r w:rsidR="004D0259">
            <w:rPr>
              <w:rFonts w:ascii="Arial" w:hAnsi="Arial" w:cs="Arial"/>
              <w:sz w:val="24"/>
              <w:szCs w:val="24"/>
            </w:rPr>
            <w:t>older adults and people with disabilities’</w:t>
          </w:r>
          <w:r w:rsidR="000B5202" w:rsidRPr="00D028E4">
            <w:rPr>
              <w:rFonts w:ascii="Arial" w:hAnsi="Arial" w:cs="Arial"/>
              <w:sz w:val="24"/>
              <w:szCs w:val="24"/>
            </w:rPr>
            <w:t xml:space="preserve"> </w:t>
          </w:r>
          <w:r w:rsidRPr="00D028E4">
            <w:rPr>
              <w:rFonts w:ascii="Arial" w:hAnsi="Arial" w:cs="Arial"/>
              <w:sz w:val="24"/>
              <w:szCs w:val="24"/>
            </w:rPr>
            <w:t xml:space="preserve">risks of institutionalization. </w:t>
          </w:r>
          <w:r w:rsidR="00D408E0">
            <w:rPr>
              <w:rFonts w:ascii="Arial" w:hAnsi="Arial" w:cs="Arial"/>
              <w:sz w:val="24"/>
              <w:szCs w:val="24"/>
            </w:rPr>
            <w:t>We recommend that HUD</w:t>
          </w:r>
          <w:r w:rsidRPr="00D028E4">
            <w:rPr>
              <w:rFonts w:ascii="Arial" w:hAnsi="Arial" w:cs="Arial"/>
              <w:sz w:val="24"/>
              <w:szCs w:val="24"/>
            </w:rPr>
            <w:t xml:space="preserve"> explain how considerations about medical conditions may be broader than considerations for reasonable accommodations.</w:t>
          </w:r>
          <w:r w:rsidR="000B5202" w:rsidRPr="00D028E4">
            <w:rPr>
              <w:rFonts w:ascii="Arial" w:hAnsi="Arial" w:cs="Arial"/>
              <w:sz w:val="24"/>
              <w:szCs w:val="24"/>
            </w:rPr>
            <w:t xml:space="preserve"> </w:t>
          </w:r>
          <w:bookmarkStart w:id="0" w:name="_Hlk168429011"/>
          <w:r w:rsidR="000B5202" w:rsidRPr="00D028E4">
            <w:rPr>
              <w:rFonts w:ascii="Arial" w:hAnsi="Arial" w:cs="Arial"/>
              <w:sz w:val="24"/>
              <w:szCs w:val="24"/>
            </w:rPr>
            <w:t>For example, the term “medical condition” should encompass not just disabilities, but also other health conditions. And unlike situations involving reasonable accommodations, HUD should allow housing providers to consider household members’ medical issues even whe</w:t>
          </w:r>
          <w:r w:rsidR="002C189B" w:rsidRPr="00D028E4">
            <w:rPr>
              <w:rFonts w:ascii="Arial" w:hAnsi="Arial" w:cs="Arial"/>
              <w:sz w:val="24"/>
              <w:szCs w:val="24"/>
            </w:rPr>
            <w:t>n</w:t>
          </w:r>
          <w:r w:rsidR="000B5202" w:rsidRPr="00D028E4">
            <w:rPr>
              <w:rFonts w:ascii="Arial" w:hAnsi="Arial" w:cs="Arial"/>
              <w:sz w:val="24"/>
              <w:szCs w:val="24"/>
            </w:rPr>
            <w:t xml:space="preserve"> there is no nexus between the health condition and the criminal history or activity at issue.  </w:t>
          </w:r>
        </w:p>
        <w:p w14:paraId="3A4705D9" w14:textId="60DBC8C5" w:rsidR="00F46299" w:rsidRPr="00D028E4" w:rsidRDefault="00F46299">
          <w:pPr>
            <w:pBdr>
              <w:top w:val="nil"/>
              <w:left w:val="nil"/>
              <w:bottom w:val="nil"/>
              <w:right w:val="nil"/>
              <w:between w:val="nil"/>
            </w:pBdr>
            <w:tabs>
              <w:tab w:val="left" w:pos="10080"/>
            </w:tabs>
            <w:spacing w:before="3"/>
            <w:rPr>
              <w:rFonts w:ascii="Arial" w:eastAsia="Calibri" w:hAnsi="Arial" w:cs="Arial"/>
              <w:i/>
              <w:sz w:val="24"/>
              <w:szCs w:val="24"/>
            </w:rPr>
          </w:pPr>
        </w:p>
        <w:p w14:paraId="6AB20E99" w14:textId="71537335" w:rsidR="003521D2" w:rsidRPr="00D028E4" w:rsidRDefault="003521D2">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 xml:space="preserve">Older Age </w:t>
          </w:r>
        </w:p>
        <w:p w14:paraId="2977A25B" w14:textId="77777777" w:rsidR="003521D2" w:rsidRPr="00D028E4" w:rsidRDefault="003521D2">
          <w:pPr>
            <w:pBdr>
              <w:top w:val="nil"/>
              <w:left w:val="nil"/>
              <w:bottom w:val="nil"/>
              <w:right w:val="nil"/>
              <w:between w:val="nil"/>
            </w:pBdr>
            <w:tabs>
              <w:tab w:val="left" w:pos="10080"/>
            </w:tabs>
            <w:spacing w:before="3"/>
            <w:rPr>
              <w:rFonts w:ascii="Arial" w:eastAsia="Calibri" w:hAnsi="Arial" w:cs="Arial"/>
              <w:b/>
              <w:sz w:val="24"/>
              <w:szCs w:val="24"/>
            </w:rPr>
          </w:pPr>
        </w:p>
        <w:p w14:paraId="0F3378DD" w14:textId="621742C8" w:rsidR="00F46299" w:rsidRPr="00D028E4" w:rsidRDefault="00F46299" w:rsidP="00F46299">
          <w:pPr>
            <w:widowControl/>
            <w:rPr>
              <w:rFonts w:ascii="Arial" w:eastAsia="MS Mincho" w:hAnsi="Arial" w:cs="Arial"/>
              <w:sz w:val="24"/>
              <w:szCs w:val="24"/>
            </w:rPr>
          </w:pPr>
          <w:r w:rsidRPr="00D028E4">
            <w:rPr>
              <w:rFonts w:ascii="Arial" w:eastAsia="MS Mincho" w:hAnsi="Arial" w:cs="Arial"/>
              <w:sz w:val="24"/>
              <w:szCs w:val="24"/>
            </w:rPr>
            <w:t>We also urge HUD to add older age as a mitigating factor for PHAs and owners to consider before denying or terminating assistance based on a criminal record. As HUD itself notes in the preamble, crime commission drops sharply as a person ages, and older people are substantially less likely to recidivate and typically age out of criminal activity altogether. Research shows that arrest rates drop to about 2 percent in people ages 50-65 and almost zero percent for people older than 65.</w:t>
          </w:r>
          <w:r w:rsidRPr="00D028E4">
            <w:rPr>
              <w:rFonts w:ascii="Arial" w:eastAsia="MS Mincho" w:hAnsi="Arial" w:cs="Arial"/>
              <w:sz w:val="24"/>
              <w:szCs w:val="24"/>
              <w:vertAlign w:val="superscript"/>
            </w:rPr>
            <w:footnoteReference w:id="7"/>
          </w:r>
          <w:r w:rsidRPr="00D028E4">
            <w:rPr>
              <w:rFonts w:ascii="Arial" w:eastAsia="MS Mincho" w:hAnsi="Arial" w:cs="Arial"/>
              <w:sz w:val="24"/>
              <w:szCs w:val="24"/>
            </w:rPr>
            <w:t xml:space="preserve"> The Equal Employment Opportunity Commission (EEOC) has also recognized older adults’ low </w:t>
          </w:r>
          <w:r w:rsidR="00911B1D" w:rsidRPr="00D028E4">
            <w:rPr>
              <w:rFonts w:ascii="Arial" w:eastAsia="MS Mincho" w:hAnsi="Arial" w:cs="Arial"/>
              <w:sz w:val="24"/>
              <w:szCs w:val="24"/>
            </w:rPr>
            <w:t xml:space="preserve">likelihood of </w:t>
          </w:r>
          <w:r w:rsidR="00540B9B" w:rsidRPr="00D028E4">
            <w:rPr>
              <w:rFonts w:ascii="Arial" w:eastAsia="MS Mincho" w:hAnsi="Arial" w:cs="Arial"/>
              <w:sz w:val="24"/>
              <w:szCs w:val="24"/>
            </w:rPr>
            <w:t xml:space="preserve">engaging in criminal conduct </w:t>
          </w:r>
          <w:r w:rsidRPr="00D028E4">
            <w:rPr>
              <w:rFonts w:ascii="Arial" w:eastAsia="MS Mincho" w:hAnsi="Arial" w:cs="Arial"/>
              <w:sz w:val="24"/>
              <w:szCs w:val="24"/>
            </w:rPr>
            <w:t xml:space="preserve">– the EEOC’s guidance on use of criminal records in employment decisions already incorporates </w:t>
          </w:r>
          <w:r w:rsidR="003521D2" w:rsidRPr="00D028E4">
            <w:rPr>
              <w:rFonts w:ascii="Arial" w:eastAsia="MS Mincho" w:hAnsi="Arial" w:cs="Arial"/>
              <w:sz w:val="24"/>
              <w:szCs w:val="24"/>
            </w:rPr>
            <w:t xml:space="preserve">older </w:t>
          </w:r>
          <w:r w:rsidRPr="00D028E4">
            <w:rPr>
              <w:rFonts w:ascii="Arial" w:eastAsia="MS Mincho" w:hAnsi="Arial" w:cs="Arial"/>
              <w:sz w:val="24"/>
              <w:szCs w:val="24"/>
            </w:rPr>
            <w:t>age as a mitigating factor</w:t>
          </w:r>
          <w:r w:rsidR="00091BB0" w:rsidRPr="00D028E4">
            <w:rPr>
              <w:rFonts w:ascii="Arial" w:eastAsia="MS Mincho" w:hAnsi="Arial" w:cs="Arial"/>
              <w:sz w:val="24"/>
              <w:szCs w:val="24"/>
            </w:rPr>
            <w:t>. The guidance</w:t>
          </w:r>
          <w:r w:rsidRPr="00D028E4">
            <w:rPr>
              <w:rFonts w:ascii="Arial" w:eastAsia="MS Mincho" w:hAnsi="Arial" w:cs="Arial"/>
              <w:sz w:val="24"/>
              <w:szCs w:val="24"/>
            </w:rPr>
            <w:t xml:space="preserve"> states that relevant individualized evidence includes “older age at the time of conviction, or release from prison.”</w:t>
          </w:r>
          <w:r w:rsidRPr="00D028E4">
            <w:rPr>
              <w:rFonts w:ascii="Arial" w:eastAsia="MS Mincho" w:hAnsi="Arial" w:cs="Arial"/>
              <w:sz w:val="24"/>
              <w:szCs w:val="24"/>
              <w:vertAlign w:val="superscript"/>
            </w:rPr>
            <w:footnoteReference w:id="8"/>
          </w:r>
          <w:r w:rsidRPr="00D028E4">
            <w:rPr>
              <w:rFonts w:ascii="Arial" w:eastAsia="MS Mincho" w:hAnsi="Arial" w:cs="Arial"/>
              <w:sz w:val="24"/>
              <w:szCs w:val="24"/>
            </w:rPr>
            <w:t xml:space="preserve"> HUD should similarly add older age as a mitigating factor in its revisions to 24 CFR § 5.852 and </w:t>
          </w:r>
          <w:r w:rsidR="003521D2" w:rsidRPr="00D028E4">
            <w:rPr>
              <w:rFonts w:ascii="Arial" w:eastAsia="MS Mincho" w:hAnsi="Arial" w:cs="Arial"/>
              <w:sz w:val="24"/>
              <w:szCs w:val="24"/>
            </w:rPr>
            <w:t xml:space="preserve">parallel </w:t>
          </w:r>
          <w:r w:rsidRPr="00D028E4">
            <w:rPr>
              <w:rFonts w:ascii="Arial" w:eastAsia="MS Mincho" w:hAnsi="Arial" w:cs="Arial"/>
              <w:sz w:val="24"/>
              <w:szCs w:val="24"/>
            </w:rPr>
            <w:t>regulations.</w:t>
          </w:r>
        </w:p>
        <w:p w14:paraId="0000001D" w14:textId="54299D25" w:rsidR="00CD7909" w:rsidRPr="00D028E4" w:rsidRDefault="006A56AF" w:rsidP="00C80997">
          <w:pPr>
            <w:widowControl/>
            <w:rPr>
              <w:rFonts w:ascii="Arial" w:eastAsia="MS Mincho" w:hAnsi="Arial" w:cs="Arial"/>
              <w:sz w:val="24"/>
              <w:szCs w:val="24"/>
            </w:rPr>
          </w:pPr>
        </w:p>
      </w:sdtContent>
    </w:sdt>
    <w:bookmarkEnd w:id="0" w:displacedByCustomXml="prev"/>
    <w:p w14:paraId="0000001E" w14:textId="40DCFA04" w:rsidR="00CD7909" w:rsidRPr="00D028E4" w:rsidRDefault="00C5066B">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 xml:space="preserve">Individualized </w:t>
      </w:r>
      <w:sdt>
        <w:sdtPr>
          <w:rPr>
            <w:rFonts w:ascii="Arial" w:hAnsi="Arial" w:cs="Arial"/>
            <w:sz w:val="24"/>
            <w:szCs w:val="24"/>
          </w:rPr>
          <w:tag w:val="goog_rdk_6"/>
          <w:id w:val="-1694455862"/>
        </w:sdtPr>
        <w:sdtEndPr/>
        <w:sdtContent/>
      </w:sdt>
      <w:r w:rsidRPr="00D028E4">
        <w:rPr>
          <w:rFonts w:ascii="Arial" w:eastAsia="Calibri" w:hAnsi="Arial" w:cs="Arial"/>
          <w:b/>
          <w:sz w:val="24"/>
          <w:szCs w:val="24"/>
        </w:rPr>
        <w:t>Assessments</w:t>
      </w:r>
      <w:r w:rsidR="007519A8" w:rsidRPr="00D028E4">
        <w:rPr>
          <w:rFonts w:ascii="Arial" w:eastAsia="Calibri" w:hAnsi="Arial" w:cs="Arial"/>
          <w:b/>
          <w:sz w:val="24"/>
          <w:szCs w:val="24"/>
        </w:rPr>
        <w:t xml:space="preserve"> and Reasonable Accommodations</w:t>
      </w:r>
    </w:p>
    <w:p w14:paraId="666E967B" w14:textId="77777777" w:rsidR="000F1907" w:rsidRPr="00D028E4" w:rsidRDefault="000F1907">
      <w:pPr>
        <w:pBdr>
          <w:top w:val="nil"/>
          <w:left w:val="nil"/>
          <w:bottom w:val="nil"/>
          <w:right w:val="nil"/>
          <w:between w:val="nil"/>
        </w:pBdr>
        <w:tabs>
          <w:tab w:val="left" w:pos="10080"/>
        </w:tabs>
        <w:spacing w:before="3"/>
        <w:rPr>
          <w:rFonts w:ascii="Arial" w:eastAsia="Calibri" w:hAnsi="Arial" w:cs="Arial"/>
          <w:b/>
          <w:sz w:val="24"/>
          <w:szCs w:val="24"/>
        </w:rPr>
      </w:pPr>
    </w:p>
    <w:p w14:paraId="0000001F" w14:textId="76FC5791" w:rsidR="00CD7909" w:rsidRPr="00D028E4" w:rsidRDefault="000F1907">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While we support </w:t>
      </w:r>
      <w:r w:rsidR="00C5066B" w:rsidRPr="00D028E4">
        <w:rPr>
          <w:rFonts w:ascii="Arial" w:eastAsia="Calibri" w:hAnsi="Arial" w:cs="Arial"/>
          <w:sz w:val="24"/>
          <w:szCs w:val="24"/>
        </w:rPr>
        <w:t>individualized assessments</w:t>
      </w:r>
      <w:r w:rsidRPr="00D028E4">
        <w:rPr>
          <w:rFonts w:ascii="Arial" w:eastAsia="Calibri" w:hAnsi="Arial" w:cs="Arial"/>
          <w:sz w:val="24"/>
          <w:szCs w:val="24"/>
        </w:rPr>
        <w:t xml:space="preserve">, </w:t>
      </w:r>
      <w:r w:rsidR="0033156E" w:rsidRPr="00D028E4">
        <w:rPr>
          <w:rFonts w:ascii="Arial" w:eastAsia="Calibri" w:hAnsi="Arial" w:cs="Arial"/>
          <w:sz w:val="24"/>
          <w:szCs w:val="24"/>
        </w:rPr>
        <w:t xml:space="preserve">we </w:t>
      </w:r>
      <w:r w:rsidR="00C5066B" w:rsidRPr="00D028E4">
        <w:rPr>
          <w:rFonts w:ascii="Arial" w:eastAsia="Calibri" w:hAnsi="Arial" w:cs="Arial"/>
          <w:sz w:val="24"/>
          <w:szCs w:val="24"/>
        </w:rPr>
        <w:t>concur with the National Housing Law Project (NHLP) comments</w:t>
      </w:r>
      <w:r w:rsidR="002B6D17" w:rsidRPr="00D028E4">
        <w:rPr>
          <w:rFonts w:ascii="Arial" w:eastAsia="Calibri" w:hAnsi="Arial" w:cs="Arial"/>
          <w:sz w:val="24"/>
          <w:szCs w:val="24"/>
        </w:rPr>
        <w:t xml:space="preserve"> that HUD should direct housing providers </w:t>
      </w:r>
      <w:r w:rsidR="00C5066B" w:rsidRPr="00D028E4">
        <w:rPr>
          <w:rFonts w:ascii="Arial" w:eastAsia="Calibri" w:hAnsi="Arial" w:cs="Arial"/>
          <w:sz w:val="24"/>
          <w:szCs w:val="24"/>
        </w:rPr>
        <w:t xml:space="preserve">to focus on whether reliable evidence shows that the applicant does not, at the time of admission, </w:t>
      </w:r>
      <w:r w:rsidR="002B6D17" w:rsidRPr="00D028E4">
        <w:rPr>
          <w:rFonts w:ascii="Arial" w:eastAsia="Calibri" w:hAnsi="Arial" w:cs="Arial"/>
          <w:sz w:val="24"/>
          <w:szCs w:val="24"/>
        </w:rPr>
        <w:t xml:space="preserve">adhere to </w:t>
      </w:r>
      <w:r w:rsidR="00C5066B" w:rsidRPr="00D028E4">
        <w:rPr>
          <w:rFonts w:ascii="Arial" w:eastAsia="Calibri" w:hAnsi="Arial" w:cs="Arial"/>
          <w:sz w:val="24"/>
          <w:szCs w:val="24"/>
        </w:rPr>
        <w:t>relevant laws having a nexus with housing and the health and safety of other residents and neighbors.</w:t>
      </w:r>
    </w:p>
    <w:p w14:paraId="00000020"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21" w14:textId="26BB8C33" w:rsidR="00CD7909" w:rsidRPr="00D028E4" w:rsidRDefault="002B6D17">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HUD should also ensure that housing providers have the training and </w:t>
      </w:r>
      <w:r w:rsidR="00C5066B" w:rsidRPr="00D028E4">
        <w:rPr>
          <w:rFonts w:ascii="Arial" w:eastAsia="Calibri" w:hAnsi="Arial" w:cs="Arial"/>
          <w:sz w:val="24"/>
          <w:szCs w:val="24"/>
        </w:rPr>
        <w:t xml:space="preserve">capacity to </w:t>
      </w:r>
      <w:r w:rsidR="0099349D" w:rsidRPr="00D028E4">
        <w:rPr>
          <w:rFonts w:ascii="Arial" w:eastAsia="Calibri" w:hAnsi="Arial" w:cs="Arial"/>
          <w:sz w:val="24"/>
          <w:szCs w:val="24"/>
        </w:rPr>
        <w:t xml:space="preserve">conduct </w:t>
      </w:r>
      <w:r w:rsidRPr="00D028E4">
        <w:rPr>
          <w:rFonts w:ascii="Arial" w:eastAsia="Calibri" w:hAnsi="Arial" w:cs="Arial"/>
          <w:sz w:val="24"/>
          <w:szCs w:val="24"/>
        </w:rPr>
        <w:t xml:space="preserve">individualized </w:t>
      </w:r>
      <w:r w:rsidR="00C5066B" w:rsidRPr="00D028E4">
        <w:rPr>
          <w:rFonts w:ascii="Arial" w:eastAsia="Calibri" w:hAnsi="Arial" w:cs="Arial"/>
          <w:sz w:val="24"/>
          <w:szCs w:val="24"/>
        </w:rPr>
        <w:t>assessment</w:t>
      </w:r>
      <w:r w:rsidR="00D305C6" w:rsidRPr="00D028E4">
        <w:rPr>
          <w:rFonts w:ascii="Arial" w:eastAsia="Calibri" w:hAnsi="Arial" w:cs="Arial"/>
          <w:sz w:val="24"/>
          <w:szCs w:val="24"/>
        </w:rPr>
        <w:t>s</w:t>
      </w:r>
      <w:r w:rsidR="00C5066B" w:rsidRPr="00D028E4">
        <w:rPr>
          <w:rFonts w:ascii="Arial" w:eastAsia="Calibri" w:hAnsi="Arial" w:cs="Arial"/>
          <w:sz w:val="24"/>
          <w:szCs w:val="24"/>
        </w:rPr>
        <w:t xml:space="preserve"> in a nondiscriminatory manner.</w:t>
      </w:r>
      <w:r w:rsidR="0099349D" w:rsidRPr="00D028E4">
        <w:rPr>
          <w:rStyle w:val="FootnoteReference"/>
          <w:rFonts w:ascii="Arial" w:eastAsia="Calibri" w:hAnsi="Arial" w:cs="Arial"/>
          <w:sz w:val="24"/>
          <w:szCs w:val="24"/>
        </w:rPr>
        <w:footnoteReference w:id="9"/>
      </w:r>
      <w:r w:rsidR="00C5066B" w:rsidRPr="00D028E4">
        <w:rPr>
          <w:rFonts w:ascii="Arial" w:eastAsia="Calibri" w:hAnsi="Arial" w:cs="Arial"/>
          <w:sz w:val="24"/>
          <w:szCs w:val="24"/>
        </w:rPr>
        <w:t xml:space="preserve"> </w:t>
      </w:r>
      <w:r w:rsidR="00D305C6" w:rsidRPr="00D028E4">
        <w:rPr>
          <w:rFonts w:ascii="Arial" w:eastAsia="Calibri" w:hAnsi="Arial" w:cs="Arial"/>
          <w:sz w:val="24"/>
          <w:szCs w:val="24"/>
        </w:rPr>
        <w:t xml:space="preserve">In particular, we question whether housing providers will be able to determine </w:t>
      </w:r>
      <w:r w:rsidR="00C5066B" w:rsidRPr="00D028E4">
        <w:rPr>
          <w:rFonts w:ascii="Arial" w:eastAsia="Calibri" w:hAnsi="Arial" w:cs="Arial"/>
          <w:sz w:val="24"/>
          <w:szCs w:val="24"/>
        </w:rPr>
        <w:t>“whether further considerations must be made in order to comp</w:t>
      </w:r>
      <w:r w:rsidR="00D305C6" w:rsidRPr="00D028E4">
        <w:rPr>
          <w:rFonts w:ascii="Arial" w:eastAsia="Calibri" w:hAnsi="Arial" w:cs="Arial"/>
          <w:sz w:val="24"/>
          <w:szCs w:val="24"/>
        </w:rPr>
        <w:t xml:space="preserve">ly </w:t>
      </w:r>
      <w:r w:rsidR="00C5066B" w:rsidRPr="00D028E4">
        <w:rPr>
          <w:rFonts w:ascii="Arial" w:eastAsia="Calibri" w:hAnsi="Arial" w:cs="Arial"/>
          <w:sz w:val="24"/>
          <w:szCs w:val="24"/>
        </w:rPr>
        <w:t xml:space="preserve">with the obligation to consider and provide reasonable accommodation to persons with disabilities.” As </w:t>
      </w:r>
      <w:r w:rsidR="00D305C6" w:rsidRPr="00D028E4">
        <w:rPr>
          <w:rFonts w:ascii="Arial" w:eastAsia="Calibri" w:hAnsi="Arial" w:cs="Arial"/>
          <w:sz w:val="24"/>
          <w:szCs w:val="24"/>
        </w:rPr>
        <w:t xml:space="preserve">HUD’s Office of Inspector General recently found, </w:t>
      </w:r>
    </w:p>
    <w:p w14:paraId="00000022" w14:textId="1E830896" w:rsidR="00CD7909" w:rsidRPr="00D028E4" w:rsidRDefault="00C5066B">
      <w:pPr>
        <w:pBdr>
          <w:top w:val="nil"/>
          <w:left w:val="nil"/>
          <w:bottom w:val="nil"/>
          <w:right w:val="nil"/>
          <w:between w:val="nil"/>
        </w:pBdr>
        <w:tabs>
          <w:tab w:val="left" w:pos="10080"/>
        </w:tabs>
        <w:spacing w:before="3"/>
        <w:ind w:left="720"/>
        <w:rPr>
          <w:rFonts w:ascii="Arial" w:eastAsia="Calibri" w:hAnsi="Arial" w:cs="Arial"/>
          <w:sz w:val="24"/>
          <w:szCs w:val="24"/>
        </w:rPr>
      </w:pPr>
      <w:r w:rsidRPr="00D028E4">
        <w:rPr>
          <w:rFonts w:ascii="Arial" w:eastAsia="Calibri" w:hAnsi="Arial" w:cs="Arial"/>
          <w:sz w:val="24"/>
          <w:szCs w:val="24"/>
        </w:rPr>
        <w:tab/>
      </w:r>
      <w:r w:rsidRPr="00D028E4">
        <w:rPr>
          <w:rFonts w:ascii="Arial" w:eastAsia="Calibri" w:hAnsi="Arial" w:cs="Arial"/>
          <w:sz w:val="24"/>
          <w:szCs w:val="24"/>
        </w:rPr>
        <w:lastRenderedPageBreak/>
        <w:t>“</w:t>
      </w:r>
      <w:r w:rsidR="002D04EB" w:rsidRPr="00D028E4">
        <w:rPr>
          <w:rFonts w:ascii="Arial" w:eastAsia="Calibri" w:hAnsi="Arial" w:cs="Arial"/>
          <w:sz w:val="24"/>
          <w:szCs w:val="24"/>
        </w:rPr>
        <w:t>[f]</w:t>
      </w:r>
      <w:proofErr w:type="spellStart"/>
      <w:r w:rsidRPr="00D028E4">
        <w:rPr>
          <w:rFonts w:ascii="Arial" w:eastAsia="Calibri" w:hAnsi="Arial" w:cs="Arial"/>
          <w:sz w:val="24"/>
          <w:szCs w:val="24"/>
        </w:rPr>
        <w:t>ailure</w:t>
      </w:r>
      <w:proofErr w:type="spellEnd"/>
      <w:r w:rsidRPr="00D028E4">
        <w:rPr>
          <w:rFonts w:ascii="Arial" w:eastAsia="Calibri" w:hAnsi="Arial" w:cs="Arial"/>
          <w:sz w:val="24"/>
          <w:szCs w:val="24"/>
        </w:rPr>
        <w:t xml:space="preserve"> to provide a reasonable accommodation may be construed as disability discrimination and housing discrimination complaints based on a failure to provide a reasonable accommodation were generally increasing every year from fiscal years 2009 to 2019, even as the total number of all housing discrimination complaints was decreasing.  According to annual reports published by HUD’s Office of Fair Housing and Equal Opportunity (FHEO) during the 11-year period from 2009 to 2019, the total number of housing discrimination complaints had decreased 24.5 percent</w:t>
      </w:r>
      <w:r w:rsidR="002D04EB" w:rsidRPr="00D028E4">
        <w:rPr>
          <w:rFonts w:ascii="Arial" w:eastAsia="Calibri" w:hAnsi="Arial" w:cs="Arial"/>
          <w:sz w:val="24"/>
          <w:szCs w:val="24"/>
        </w:rPr>
        <w:t>…</w:t>
      </w:r>
      <w:r w:rsidRPr="00D028E4">
        <w:rPr>
          <w:rFonts w:ascii="Arial" w:eastAsia="Calibri" w:hAnsi="Arial" w:cs="Arial"/>
          <w:sz w:val="24"/>
          <w:szCs w:val="24"/>
        </w:rPr>
        <w:t>while the number of housing discrimination complaints based on a failure to provide a reasonable accommodation had increased by 46.1 percent</w:t>
      </w:r>
      <w:r w:rsidR="002D04EB" w:rsidRPr="00D028E4">
        <w:rPr>
          <w:rFonts w:ascii="Arial" w:eastAsia="Calibri" w:hAnsi="Arial" w:cs="Arial"/>
          <w:sz w:val="24"/>
          <w:szCs w:val="24"/>
        </w:rPr>
        <w:t>..</w:t>
      </w:r>
      <w:r w:rsidRPr="00D028E4">
        <w:rPr>
          <w:rFonts w:ascii="Arial" w:eastAsia="Calibri" w:hAnsi="Arial" w:cs="Arial"/>
          <w:sz w:val="24"/>
          <w:szCs w:val="24"/>
        </w:rPr>
        <w:t>.”</w:t>
      </w:r>
    </w:p>
    <w:p w14:paraId="00000023"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24" w14:textId="138D3D52"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OIG </w:t>
      </w:r>
      <w:r w:rsidR="002D04EB" w:rsidRPr="00D028E4">
        <w:rPr>
          <w:rFonts w:ascii="Arial" w:eastAsia="Calibri" w:hAnsi="Arial" w:cs="Arial"/>
          <w:sz w:val="24"/>
          <w:szCs w:val="24"/>
        </w:rPr>
        <w:t xml:space="preserve">concluded </w:t>
      </w:r>
      <w:r w:rsidRPr="00D028E4">
        <w:rPr>
          <w:rFonts w:ascii="Arial" w:eastAsia="Calibri" w:hAnsi="Arial" w:cs="Arial"/>
          <w:sz w:val="24"/>
          <w:szCs w:val="24"/>
        </w:rPr>
        <w:t>that HUD did “not have adequate policies and procedures for ensuring that PHAs properly addressed, assessed, and fulfilled requests for reasonable accommodation</w:t>
      </w:r>
      <w:r w:rsidR="00D305C6" w:rsidRPr="00D028E4">
        <w:rPr>
          <w:rFonts w:ascii="Arial" w:eastAsia="Calibri" w:hAnsi="Arial" w:cs="Arial"/>
          <w:sz w:val="24"/>
          <w:szCs w:val="24"/>
        </w:rPr>
        <w:t>.</w:t>
      </w:r>
      <w:r w:rsidRPr="00D028E4">
        <w:rPr>
          <w:rFonts w:ascii="Arial" w:eastAsia="Calibri" w:hAnsi="Arial" w:cs="Arial"/>
          <w:sz w:val="24"/>
          <w:szCs w:val="24"/>
        </w:rPr>
        <w:t>”</w:t>
      </w:r>
      <w:r w:rsidR="00D305C6" w:rsidRPr="00D028E4">
        <w:rPr>
          <w:rStyle w:val="FootnoteReference"/>
          <w:rFonts w:ascii="Arial" w:eastAsia="Calibri" w:hAnsi="Arial" w:cs="Arial"/>
          <w:sz w:val="24"/>
          <w:szCs w:val="24"/>
        </w:rPr>
        <w:footnoteReference w:id="10"/>
      </w:r>
      <w:r w:rsidRPr="00D028E4">
        <w:rPr>
          <w:rFonts w:ascii="Arial" w:eastAsia="Calibri" w:hAnsi="Arial" w:cs="Arial"/>
          <w:sz w:val="24"/>
          <w:szCs w:val="24"/>
        </w:rPr>
        <w:t xml:space="preserve"> </w:t>
      </w:r>
    </w:p>
    <w:p w14:paraId="00000025"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456D9D37" w14:textId="77777777" w:rsidR="00F0614C"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In response to the OIG report, the </w:t>
      </w:r>
      <w:r w:rsidR="00A66402" w:rsidRPr="00D028E4">
        <w:rPr>
          <w:rFonts w:ascii="Arial" w:eastAsia="Calibri" w:hAnsi="Arial" w:cs="Arial"/>
          <w:sz w:val="24"/>
          <w:szCs w:val="24"/>
        </w:rPr>
        <w:t>CCD HTF</w:t>
      </w:r>
      <w:r w:rsidRPr="00D028E4">
        <w:rPr>
          <w:rFonts w:ascii="Arial" w:eastAsia="Calibri" w:hAnsi="Arial" w:cs="Arial"/>
          <w:sz w:val="24"/>
          <w:szCs w:val="24"/>
        </w:rPr>
        <w:t xml:space="preserve"> </w:t>
      </w:r>
      <w:r w:rsidR="00A66402" w:rsidRPr="00D028E4">
        <w:rPr>
          <w:rFonts w:ascii="Arial" w:eastAsia="Calibri" w:hAnsi="Arial" w:cs="Arial"/>
          <w:sz w:val="24"/>
          <w:szCs w:val="24"/>
        </w:rPr>
        <w:t xml:space="preserve">urged </w:t>
      </w:r>
      <w:r w:rsidRPr="00D028E4">
        <w:rPr>
          <w:rFonts w:ascii="Arial" w:eastAsia="Calibri" w:hAnsi="Arial" w:cs="Arial"/>
          <w:sz w:val="24"/>
          <w:szCs w:val="24"/>
        </w:rPr>
        <w:t xml:space="preserve">HUD to mandate training </w:t>
      </w:r>
      <w:r w:rsidR="00577462" w:rsidRPr="00D028E4">
        <w:rPr>
          <w:rFonts w:ascii="Arial" w:eastAsia="Calibri" w:hAnsi="Arial" w:cs="Arial"/>
          <w:sz w:val="24"/>
          <w:szCs w:val="24"/>
        </w:rPr>
        <w:t xml:space="preserve">for PHAs and owners </w:t>
      </w:r>
      <w:r w:rsidRPr="00D028E4">
        <w:rPr>
          <w:rFonts w:ascii="Arial" w:eastAsia="Calibri" w:hAnsi="Arial" w:cs="Arial"/>
          <w:sz w:val="24"/>
          <w:szCs w:val="24"/>
        </w:rPr>
        <w:t>on reasonable accommodations.</w:t>
      </w:r>
      <w:r w:rsidR="00A66402" w:rsidRPr="00D028E4">
        <w:rPr>
          <w:rStyle w:val="FootnoteReference"/>
          <w:rFonts w:ascii="Arial" w:eastAsia="Calibri" w:hAnsi="Arial" w:cs="Arial"/>
          <w:sz w:val="24"/>
          <w:szCs w:val="24"/>
        </w:rPr>
        <w:footnoteReference w:id="11"/>
      </w:r>
      <w:r w:rsidRPr="00D028E4">
        <w:rPr>
          <w:rFonts w:ascii="Arial" w:eastAsia="Calibri" w:hAnsi="Arial" w:cs="Arial"/>
          <w:sz w:val="24"/>
          <w:szCs w:val="24"/>
        </w:rPr>
        <w:t xml:space="preserve"> The concept of reasonable accommodations is often confusing for many housing providers because it involves a modification of policies, whereas many housing providers believe that nondiscrimination requires them to always apply the same policies to each applicant or tenant. We are aware of cases in which housing providers refused to provide reasonable accommodations to disabled persons under the claim that doing so would violate the alleged requirement to “treat everyone the same” under civil rights laws. Many people with disabilities are unable to secure reasonable accommodations without legal assistance or other help from an advocate.  </w:t>
      </w:r>
    </w:p>
    <w:p w14:paraId="24A0BC54" w14:textId="77777777" w:rsidR="00F0614C" w:rsidRPr="00D028E4" w:rsidRDefault="00F0614C">
      <w:pPr>
        <w:pBdr>
          <w:top w:val="nil"/>
          <w:left w:val="nil"/>
          <w:bottom w:val="nil"/>
          <w:right w:val="nil"/>
          <w:between w:val="nil"/>
        </w:pBdr>
        <w:tabs>
          <w:tab w:val="left" w:pos="10080"/>
        </w:tabs>
        <w:spacing w:before="3"/>
        <w:rPr>
          <w:rFonts w:ascii="Arial" w:eastAsia="Calibri" w:hAnsi="Arial" w:cs="Arial"/>
          <w:sz w:val="24"/>
          <w:szCs w:val="24"/>
        </w:rPr>
      </w:pPr>
    </w:p>
    <w:p w14:paraId="00000026" w14:textId="3C04F128" w:rsidR="00CD7909" w:rsidRPr="00D028E4" w:rsidRDefault="00F0614C">
      <w:pPr>
        <w:pBdr>
          <w:top w:val="nil"/>
          <w:left w:val="nil"/>
          <w:bottom w:val="nil"/>
          <w:right w:val="nil"/>
          <w:between w:val="nil"/>
        </w:pBdr>
        <w:tabs>
          <w:tab w:val="left" w:pos="10080"/>
        </w:tabs>
        <w:spacing w:before="3"/>
        <w:rPr>
          <w:rFonts w:ascii="Arial" w:eastAsia="Calibri" w:hAnsi="Arial" w:cs="Arial"/>
          <w:sz w:val="24"/>
          <w:szCs w:val="24"/>
          <w:vertAlign w:val="superscript"/>
        </w:rPr>
      </w:pPr>
      <w:r w:rsidRPr="00D028E4">
        <w:rPr>
          <w:rFonts w:ascii="Arial" w:eastAsia="Calibri" w:hAnsi="Arial" w:cs="Arial"/>
          <w:sz w:val="24"/>
          <w:szCs w:val="24"/>
        </w:rPr>
        <w:t>Further, a</w:t>
      </w:r>
      <w:r w:rsidR="00C5066B" w:rsidRPr="00D028E4">
        <w:rPr>
          <w:rFonts w:ascii="Arial" w:eastAsia="Calibri" w:hAnsi="Arial" w:cs="Arial"/>
          <w:sz w:val="24"/>
          <w:szCs w:val="24"/>
        </w:rPr>
        <w:t xml:space="preserve">ccording to </w:t>
      </w:r>
      <w:r w:rsidR="008041F7" w:rsidRPr="00D028E4">
        <w:rPr>
          <w:rFonts w:ascii="Arial" w:eastAsia="Calibri" w:hAnsi="Arial" w:cs="Arial"/>
          <w:sz w:val="24"/>
          <w:szCs w:val="24"/>
        </w:rPr>
        <w:t>the Institute of Real Estate Management</w:t>
      </w:r>
      <w:r w:rsidR="00C5066B" w:rsidRPr="00D028E4">
        <w:rPr>
          <w:rFonts w:ascii="Arial" w:eastAsia="Calibri" w:hAnsi="Arial" w:cs="Arial"/>
          <w:sz w:val="24"/>
          <w:szCs w:val="24"/>
        </w:rPr>
        <w:t>, the annual turnover rate for multifamily property managers stands at 33%, far higher than the average national rate of 22% of employees across industries</w:t>
      </w:r>
      <w:r w:rsidR="008041F7" w:rsidRPr="00D028E4">
        <w:rPr>
          <w:rFonts w:ascii="Arial" w:eastAsia="Calibri" w:hAnsi="Arial" w:cs="Arial"/>
          <w:sz w:val="24"/>
          <w:szCs w:val="24"/>
        </w:rPr>
        <w:t>.</w:t>
      </w:r>
      <w:r w:rsidR="00C5066B" w:rsidRPr="00D028E4">
        <w:rPr>
          <w:rFonts w:ascii="Arial" w:eastAsia="Calibri" w:hAnsi="Arial" w:cs="Arial"/>
          <w:sz w:val="24"/>
          <w:szCs w:val="24"/>
          <w:vertAlign w:val="superscript"/>
        </w:rPr>
        <w:footnoteReference w:id="12"/>
      </w:r>
      <w:r w:rsidR="008041F7" w:rsidRPr="00D028E4">
        <w:rPr>
          <w:rFonts w:ascii="Arial" w:eastAsia="Calibri" w:hAnsi="Arial" w:cs="Arial"/>
          <w:sz w:val="24"/>
          <w:szCs w:val="24"/>
        </w:rPr>
        <w:t xml:space="preserve"> This turnover rate adds to the challenge of ensuring that employees conduct individualized assessments in a consistent way that complies with civil rights laws. We </w:t>
      </w:r>
      <w:r w:rsidR="00C5066B" w:rsidRPr="00D028E4">
        <w:rPr>
          <w:rFonts w:ascii="Arial" w:eastAsia="Calibri" w:hAnsi="Arial" w:cs="Arial"/>
          <w:sz w:val="24"/>
          <w:szCs w:val="24"/>
        </w:rPr>
        <w:t>recommend</w:t>
      </w:r>
      <w:r w:rsidR="008041F7" w:rsidRPr="00D028E4">
        <w:rPr>
          <w:rFonts w:ascii="Arial" w:eastAsia="Calibri" w:hAnsi="Arial" w:cs="Arial"/>
          <w:sz w:val="24"/>
          <w:szCs w:val="24"/>
        </w:rPr>
        <w:t xml:space="preserve"> that</w:t>
      </w:r>
      <w:r w:rsidR="00C5066B" w:rsidRPr="00D028E4">
        <w:rPr>
          <w:rFonts w:ascii="Arial" w:eastAsia="Calibri" w:hAnsi="Arial" w:cs="Arial"/>
          <w:sz w:val="24"/>
          <w:szCs w:val="24"/>
        </w:rPr>
        <w:t xml:space="preserve"> HUD </w:t>
      </w:r>
      <w:r w:rsidR="008041F7" w:rsidRPr="00D028E4">
        <w:rPr>
          <w:rFonts w:ascii="Arial" w:eastAsia="Calibri" w:hAnsi="Arial" w:cs="Arial"/>
          <w:sz w:val="24"/>
          <w:szCs w:val="24"/>
        </w:rPr>
        <w:t xml:space="preserve">provide </w:t>
      </w:r>
      <w:r w:rsidR="00C5066B" w:rsidRPr="00D028E4">
        <w:rPr>
          <w:rFonts w:ascii="Arial" w:eastAsia="Calibri" w:hAnsi="Arial" w:cs="Arial"/>
          <w:sz w:val="24"/>
          <w:szCs w:val="24"/>
        </w:rPr>
        <w:t xml:space="preserve">resources </w:t>
      </w:r>
      <w:r w:rsidR="008041F7" w:rsidRPr="00D028E4">
        <w:rPr>
          <w:rFonts w:ascii="Arial" w:eastAsia="Calibri" w:hAnsi="Arial" w:cs="Arial"/>
          <w:sz w:val="24"/>
          <w:szCs w:val="24"/>
        </w:rPr>
        <w:t xml:space="preserve">similar to this </w:t>
      </w:r>
      <w:hyperlink r:id="rId8" w:history="1">
        <w:r w:rsidR="00F473EF" w:rsidRPr="00D028E4">
          <w:rPr>
            <w:rStyle w:val="Hyperlink"/>
            <w:rFonts w:ascii="Arial" w:eastAsia="Calibri" w:hAnsi="Arial" w:cs="Arial"/>
            <w:sz w:val="24"/>
            <w:szCs w:val="24"/>
          </w:rPr>
          <w:t>handbook on reasonable accommodations</w:t>
        </w:r>
      </w:hyperlink>
      <w:r w:rsidR="00F473EF" w:rsidRPr="00D028E4">
        <w:rPr>
          <w:rFonts w:ascii="Arial" w:eastAsia="Calibri" w:hAnsi="Arial" w:cs="Arial"/>
          <w:sz w:val="24"/>
          <w:szCs w:val="24"/>
        </w:rPr>
        <w:t xml:space="preserve"> </w:t>
      </w:r>
      <w:r w:rsidR="00C5066B" w:rsidRPr="00D028E4">
        <w:rPr>
          <w:rFonts w:ascii="Arial" w:eastAsia="Calibri" w:hAnsi="Arial" w:cs="Arial"/>
          <w:sz w:val="24"/>
          <w:szCs w:val="24"/>
        </w:rPr>
        <w:t>(produced</w:t>
      </w:r>
      <w:r w:rsidR="008041F7" w:rsidRPr="00D028E4">
        <w:rPr>
          <w:rFonts w:ascii="Arial" w:eastAsia="Calibri" w:hAnsi="Arial" w:cs="Arial"/>
          <w:sz w:val="24"/>
          <w:szCs w:val="24"/>
        </w:rPr>
        <w:t xml:space="preserve"> under HUD’s Fair Housing Initiatives Program</w:t>
      </w:r>
      <w:r w:rsidR="00C5066B" w:rsidRPr="00D028E4">
        <w:rPr>
          <w:rFonts w:ascii="Arial" w:eastAsia="Calibri" w:hAnsi="Arial" w:cs="Arial"/>
          <w:sz w:val="24"/>
          <w:szCs w:val="24"/>
        </w:rPr>
        <w:t>)</w:t>
      </w:r>
      <w:r w:rsidR="00650DA9" w:rsidRPr="00D028E4">
        <w:rPr>
          <w:rFonts w:ascii="Arial" w:eastAsia="Calibri" w:hAnsi="Arial" w:cs="Arial"/>
          <w:sz w:val="24"/>
          <w:szCs w:val="24"/>
        </w:rPr>
        <w:t xml:space="preserve"> with clear examples that</w:t>
      </w:r>
      <w:r w:rsidR="00030CDC" w:rsidRPr="00D028E4">
        <w:rPr>
          <w:rFonts w:ascii="Arial" w:eastAsia="Calibri" w:hAnsi="Arial" w:cs="Arial"/>
          <w:sz w:val="24"/>
          <w:szCs w:val="24"/>
        </w:rPr>
        <w:t xml:space="preserve"> </w:t>
      </w:r>
      <w:r w:rsidR="00C5066B" w:rsidRPr="00D028E4">
        <w:rPr>
          <w:rFonts w:ascii="Arial" w:eastAsia="Calibri" w:hAnsi="Arial" w:cs="Arial"/>
          <w:sz w:val="24"/>
          <w:szCs w:val="24"/>
        </w:rPr>
        <w:t xml:space="preserve">will help </w:t>
      </w:r>
      <w:r w:rsidR="00F473EF" w:rsidRPr="00D028E4">
        <w:rPr>
          <w:rFonts w:ascii="Arial" w:eastAsia="Calibri" w:hAnsi="Arial" w:cs="Arial"/>
          <w:sz w:val="24"/>
          <w:szCs w:val="24"/>
        </w:rPr>
        <w:t xml:space="preserve">housing providers conduct individualized assessments for </w:t>
      </w:r>
      <w:r w:rsidR="00C5066B" w:rsidRPr="00D028E4">
        <w:rPr>
          <w:rFonts w:ascii="Arial" w:eastAsia="Calibri" w:hAnsi="Arial" w:cs="Arial"/>
          <w:sz w:val="24"/>
          <w:szCs w:val="24"/>
        </w:rPr>
        <w:t xml:space="preserve">applicants and tenants with </w:t>
      </w:r>
      <w:sdt>
        <w:sdtPr>
          <w:rPr>
            <w:rFonts w:ascii="Arial" w:hAnsi="Arial" w:cs="Arial"/>
            <w:sz w:val="24"/>
            <w:szCs w:val="24"/>
          </w:rPr>
          <w:tag w:val="goog_rdk_7"/>
          <w:id w:val="-261681135"/>
        </w:sdtPr>
        <w:sdtEndPr/>
        <w:sdtContent/>
      </w:sdt>
      <w:r w:rsidR="00C5066B" w:rsidRPr="00D028E4">
        <w:rPr>
          <w:rFonts w:ascii="Arial" w:eastAsia="Calibri" w:hAnsi="Arial" w:cs="Arial"/>
          <w:sz w:val="24"/>
          <w:szCs w:val="24"/>
        </w:rPr>
        <w:t>disabilities.</w:t>
      </w:r>
      <w:r w:rsidR="008041F7" w:rsidRPr="00D028E4">
        <w:rPr>
          <w:rFonts w:ascii="Arial" w:eastAsia="Calibri" w:hAnsi="Arial" w:cs="Arial"/>
          <w:sz w:val="24"/>
          <w:szCs w:val="24"/>
          <w:vertAlign w:val="superscript"/>
        </w:rPr>
        <w:footnoteReference w:id="13"/>
      </w:r>
      <w:r w:rsidR="00650DA9" w:rsidRPr="00D028E4">
        <w:rPr>
          <w:rFonts w:ascii="Arial" w:eastAsia="Calibri" w:hAnsi="Arial" w:cs="Arial"/>
          <w:sz w:val="24"/>
          <w:szCs w:val="24"/>
          <w:vertAlign w:val="superscript"/>
        </w:rPr>
        <w:t xml:space="preserve">  </w:t>
      </w:r>
    </w:p>
    <w:p w14:paraId="05BA8473" w14:textId="0CC42B2D" w:rsidR="007519A8" w:rsidRPr="00D028E4" w:rsidRDefault="007519A8">
      <w:pPr>
        <w:pBdr>
          <w:top w:val="nil"/>
          <w:left w:val="nil"/>
          <w:bottom w:val="nil"/>
          <w:right w:val="nil"/>
          <w:between w:val="nil"/>
        </w:pBdr>
        <w:tabs>
          <w:tab w:val="left" w:pos="10080"/>
        </w:tabs>
        <w:spacing w:before="3"/>
        <w:rPr>
          <w:rFonts w:ascii="Arial" w:eastAsia="Calibri" w:hAnsi="Arial" w:cs="Arial"/>
          <w:sz w:val="24"/>
          <w:szCs w:val="24"/>
        </w:rPr>
      </w:pPr>
    </w:p>
    <w:p w14:paraId="4639F912" w14:textId="3F81B716" w:rsidR="001C32C4" w:rsidRPr="00D028E4" w:rsidRDefault="00985ED0" w:rsidP="001C32C4">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We also </w:t>
      </w:r>
      <w:r w:rsidR="001C32C4" w:rsidRPr="00D028E4">
        <w:rPr>
          <w:rFonts w:ascii="Arial" w:eastAsia="Calibri" w:hAnsi="Arial" w:cs="Arial"/>
          <w:sz w:val="24"/>
          <w:szCs w:val="24"/>
        </w:rPr>
        <w:t>urge HUD to mandate that PHAs and owners take reasonable steps to determine whether someone may need a</w:t>
      </w:r>
      <w:r w:rsidR="00A747B8">
        <w:rPr>
          <w:rFonts w:ascii="Arial" w:eastAsia="Calibri" w:hAnsi="Arial" w:cs="Arial"/>
          <w:sz w:val="24"/>
          <w:szCs w:val="24"/>
        </w:rPr>
        <w:t xml:space="preserve"> reasonable accommodation</w:t>
      </w:r>
      <w:r w:rsidR="001C32C4" w:rsidRPr="00D028E4">
        <w:rPr>
          <w:rFonts w:ascii="Arial" w:eastAsia="Calibri" w:hAnsi="Arial" w:cs="Arial"/>
          <w:sz w:val="24"/>
          <w:szCs w:val="24"/>
        </w:rPr>
        <w:t xml:space="preserve"> for disability-related criminal activity before denying or terminating as</w:t>
      </w:r>
      <w:r w:rsidR="004C4D49" w:rsidRPr="00D028E4">
        <w:rPr>
          <w:rFonts w:ascii="Arial" w:eastAsia="Calibri" w:hAnsi="Arial" w:cs="Arial"/>
          <w:sz w:val="24"/>
          <w:szCs w:val="24"/>
        </w:rPr>
        <w:t>s</w:t>
      </w:r>
      <w:r w:rsidR="001C32C4" w:rsidRPr="00D028E4">
        <w:rPr>
          <w:rFonts w:ascii="Arial" w:eastAsia="Calibri" w:hAnsi="Arial" w:cs="Arial"/>
          <w:sz w:val="24"/>
          <w:szCs w:val="24"/>
        </w:rPr>
        <w:t xml:space="preserve">istance. The proposed rule notes that housing </w:t>
      </w:r>
      <w:r w:rsidR="001C32C4" w:rsidRPr="00D028E4">
        <w:rPr>
          <w:rFonts w:ascii="Arial" w:eastAsia="Calibri" w:hAnsi="Arial" w:cs="Arial"/>
          <w:sz w:val="24"/>
          <w:szCs w:val="24"/>
        </w:rPr>
        <w:lastRenderedPageBreak/>
        <w:t>providers may need to consider granting</w:t>
      </w:r>
      <w:r w:rsidR="004C4D49" w:rsidRPr="00D028E4">
        <w:rPr>
          <w:rFonts w:ascii="Arial" w:eastAsia="Calibri" w:hAnsi="Arial" w:cs="Arial"/>
          <w:sz w:val="24"/>
          <w:szCs w:val="24"/>
        </w:rPr>
        <w:t xml:space="preserve"> reasonable accommodations</w:t>
      </w:r>
      <w:r w:rsidR="001C32C4" w:rsidRPr="00D028E4">
        <w:rPr>
          <w:rFonts w:ascii="Arial" w:eastAsia="Calibri" w:hAnsi="Arial" w:cs="Arial"/>
          <w:sz w:val="24"/>
          <w:szCs w:val="24"/>
        </w:rPr>
        <w:t xml:space="preserve"> for people with disabilities, but without more, it is merely reminding housing providers of their existing obligation to follow civil rights laws. HUD should create a more affirmative responsibility for landlords to inquire into whether applicants and tenants would like to request </w:t>
      </w:r>
      <w:r w:rsidR="00A747B8">
        <w:rPr>
          <w:rFonts w:ascii="Arial" w:eastAsia="Calibri" w:hAnsi="Arial" w:cs="Arial"/>
          <w:sz w:val="24"/>
          <w:szCs w:val="24"/>
        </w:rPr>
        <w:t>reasonable accommodations</w:t>
      </w:r>
      <w:r w:rsidR="001C32C4" w:rsidRPr="00D028E4">
        <w:rPr>
          <w:rFonts w:ascii="Arial" w:eastAsia="Calibri" w:hAnsi="Arial" w:cs="Arial"/>
          <w:sz w:val="24"/>
          <w:szCs w:val="24"/>
        </w:rPr>
        <w:t xml:space="preserve"> </w:t>
      </w:r>
      <w:r w:rsidR="00445C7D" w:rsidRPr="00D028E4">
        <w:rPr>
          <w:rFonts w:ascii="Arial" w:eastAsia="Calibri" w:hAnsi="Arial" w:cs="Arial"/>
          <w:sz w:val="24"/>
          <w:szCs w:val="24"/>
        </w:rPr>
        <w:t xml:space="preserve">related to potentially </w:t>
      </w:r>
      <w:r w:rsidR="001C32C4" w:rsidRPr="00D028E4">
        <w:rPr>
          <w:rFonts w:ascii="Arial" w:eastAsia="Calibri" w:hAnsi="Arial" w:cs="Arial"/>
          <w:sz w:val="24"/>
          <w:szCs w:val="24"/>
        </w:rPr>
        <w:t>disqualifying criminal conduct</w:t>
      </w:r>
      <w:r w:rsidR="004C4D49" w:rsidRPr="00D028E4">
        <w:rPr>
          <w:rFonts w:ascii="Arial" w:eastAsia="Calibri" w:hAnsi="Arial" w:cs="Arial"/>
          <w:sz w:val="24"/>
          <w:szCs w:val="24"/>
        </w:rPr>
        <w:t>.</w:t>
      </w:r>
    </w:p>
    <w:p w14:paraId="4D2EBC76" w14:textId="1500D8FB" w:rsidR="00985ED0" w:rsidRPr="00D028E4" w:rsidRDefault="00985ED0" w:rsidP="001C32C4">
      <w:pPr>
        <w:pBdr>
          <w:top w:val="nil"/>
          <w:left w:val="nil"/>
          <w:bottom w:val="nil"/>
          <w:right w:val="nil"/>
          <w:between w:val="nil"/>
        </w:pBdr>
        <w:tabs>
          <w:tab w:val="left" w:pos="10080"/>
        </w:tabs>
        <w:spacing w:before="3"/>
        <w:rPr>
          <w:rFonts w:ascii="Arial" w:eastAsia="Calibri" w:hAnsi="Arial" w:cs="Arial"/>
          <w:sz w:val="24"/>
          <w:szCs w:val="24"/>
        </w:rPr>
      </w:pPr>
    </w:p>
    <w:p w14:paraId="5C90CE0E" w14:textId="7A5CA2BC" w:rsidR="00985ED0" w:rsidRPr="00D028E4" w:rsidRDefault="00985ED0" w:rsidP="001C32C4">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Live-In Aides</w:t>
      </w:r>
    </w:p>
    <w:p w14:paraId="00000027" w14:textId="400EE9B4"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17286B7F" w14:textId="0FFB5D7B" w:rsidR="00985ED0" w:rsidRPr="00D028E4" w:rsidRDefault="00985ED0">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Many PHAs and owners conduct criminal background checks for live-in aides as they would for household members. HUD should ensure that criminal history screenings for live-in aides are not more stringent than those for applicants under this proposed rule.</w:t>
      </w:r>
      <w:r w:rsidR="00D25CDB" w:rsidRPr="00D028E4">
        <w:rPr>
          <w:rFonts w:ascii="Arial" w:eastAsia="Calibri" w:hAnsi="Arial" w:cs="Arial"/>
          <w:sz w:val="24"/>
          <w:szCs w:val="24"/>
        </w:rPr>
        <w:t xml:space="preserve"> </w:t>
      </w:r>
      <w:r w:rsidRPr="00D028E4">
        <w:rPr>
          <w:rFonts w:ascii="Arial" w:eastAsia="Calibri" w:hAnsi="Arial" w:cs="Arial"/>
          <w:sz w:val="24"/>
          <w:szCs w:val="24"/>
        </w:rPr>
        <w:t>Aides are not interchangeable</w:t>
      </w:r>
      <w:r w:rsidR="00CF1547" w:rsidRPr="00D028E4">
        <w:rPr>
          <w:rFonts w:ascii="Arial" w:eastAsia="Calibri" w:hAnsi="Arial" w:cs="Arial"/>
          <w:sz w:val="24"/>
          <w:szCs w:val="24"/>
        </w:rPr>
        <w:t xml:space="preserve">, and each has specific skill sets and backgrounds that meet the unique needs of a person with a disability. </w:t>
      </w:r>
      <w:r w:rsidRPr="00D028E4">
        <w:rPr>
          <w:rFonts w:ascii="Arial" w:eastAsia="Calibri" w:hAnsi="Arial" w:cs="Arial"/>
          <w:sz w:val="24"/>
          <w:szCs w:val="24"/>
        </w:rPr>
        <w:t xml:space="preserve">We </w:t>
      </w:r>
      <w:r w:rsidR="005D4F61" w:rsidRPr="00D028E4">
        <w:rPr>
          <w:rFonts w:ascii="Arial" w:eastAsia="Calibri" w:hAnsi="Arial" w:cs="Arial"/>
          <w:sz w:val="24"/>
          <w:szCs w:val="24"/>
        </w:rPr>
        <w:t xml:space="preserve">recommend that </w:t>
      </w:r>
      <w:r w:rsidRPr="00D028E4">
        <w:rPr>
          <w:rFonts w:ascii="Arial" w:eastAsia="Calibri" w:hAnsi="Arial" w:cs="Arial"/>
          <w:sz w:val="24"/>
          <w:szCs w:val="24"/>
        </w:rPr>
        <w:t xml:space="preserve">HUD </w:t>
      </w:r>
      <w:r w:rsidR="005D4F61" w:rsidRPr="00D028E4">
        <w:rPr>
          <w:rFonts w:ascii="Arial" w:eastAsia="Calibri" w:hAnsi="Arial" w:cs="Arial"/>
          <w:sz w:val="24"/>
          <w:szCs w:val="24"/>
        </w:rPr>
        <w:t xml:space="preserve">specify </w:t>
      </w:r>
      <w:r w:rsidRPr="00D028E4">
        <w:rPr>
          <w:rFonts w:ascii="Arial" w:eastAsia="Calibri" w:hAnsi="Arial" w:cs="Arial"/>
          <w:sz w:val="24"/>
          <w:szCs w:val="24"/>
        </w:rPr>
        <w:t xml:space="preserve">in </w:t>
      </w:r>
      <w:r w:rsidR="005D4F61" w:rsidRPr="00D028E4">
        <w:rPr>
          <w:rFonts w:ascii="Arial" w:eastAsia="Calibri" w:hAnsi="Arial" w:cs="Arial"/>
          <w:sz w:val="24"/>
          <w:szCs w:val="24"/>
        </w:rPr>
        <w:t xml:space="preserve">future </w:t>
      </w:r>
      <w:r w:rsidRPr="00D028E4">
        <w:rPr>
          <w:rFonts w:ascii="Arial" w:eastAsia="Calibri" w:hAnsi="Arial" w:cs="Arial"/>
          <w:sz w:val="24"/>
          <w:szCs w:val="24"/>
        </w:rPr>
        <w:t xml:space="preserve">guidance that PHAs and owners should conduct individualized assessments not only for applicants, but also for live-in aides before denying an aide based on criminal records. </w:t>
      </w:r>
    </w:p>
    <w:p w14:paraId="5568938E" w14:textId="77777777" w:rsidR="00985ED0" w:rsidRPr="00D028E4" w:rsidRDefault="00985ED0">
      <w:pPr>
        <w:pBdr>
          <w:top w:val="nil"/>
          <w:left w:val="nil"/>
          <w:bottom w:val="nil"/>
          <w:right w:val="nil"/>
          <w:between w:val="nil"/>
        </w:pBdr>
        <w:tabs>
          <w:tab w:val="left" w:pos="10080"/>
        </w:tabs>
        <w:spacing w:before="3"/>
        <w:rPr>
          <w:rFonts w:ascii="Arial" w:eastAsia="Calibri" w:hAnsi="Arial" w:cs="Arial"/>
          <w:sz w:val="24"/>
          <w:szCs w:val="24"/>
        </w:rPr>
      </w:pPr>
    </w:p>
    <w:p w14:paraId="00000028" w14:textId="2B799EE5"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b/>
          <w:sz w:val="24"/>
          <w:szCs w:val="24"/>
        </w:rPr>
        <w:t>Question #5: Justifying denial of admissions</w:t>
      </w:r>
      <w:r w:rsidRPr="00D028E4">
        <w:rPr>
          <w:rFonts w:ascii="Arial" w:eastAsia="Calibri" w:hAnsi="Arial" w:cs="Arial"/>
          <w:sz w:val="24"/>
          <w:szCs w:val="24"/>
        </w:rPr>
        <w:t xml:space="preserve">. </w:t>
      </w:r>
      <w:r w:rsidRPr="00D028E4">
        <w:rPr>
          <w:rFonts w:ascii="Arial" w:eastAsia="Calibri" w:hAnsi="Arial" w:cs="Arial"/>
          <w:i/>
          <w:sz w:val="24"/>
          <w:szCs w:val="24"/>
        </w:rPr>
        <w:t>The proposed rule would provide that criminal activity in the past can be the basis for denying admission only if it would threaten the health, safety, or right to peaceful enjoyment of the premises by other residents or PHA/property employees. Should HUD provide additional specificity in the rule or in subsequent guidance on this requirement, and if so, on what aspects?</w:t>
      </w:r>
    </w:p>
    <w:p w14:paraId="00000029" w14:textId="36EC036A" w:rsidR="00CD7909" w:rsidRPr="00D028E4" w:rsidRDefault="00C5066B">
      <w:pPr>
        <w:pStyle w:val="Heading3"/>
        <w:spacing w:after="200"/>
        <w:rPr>
          <w:rFonts w:ascii="Arial" w:eastAsia="Calibri" w:hAnsi="Arial" w:cs="Arial"/>
          <w:b w:val="0"/>
          <w:color w:val="000000"/>
          <w:sz w:val="24"/>
          <w:szCs w:val="24"/>
        </w:rPr>
      </w:pPr>
      <w:r w:rsidRPr="00D028E4">
        <w:rPr>
          <w:rFonts w:ascii="Arial" w:eastAsia="Calibri" w:hAnsi="Arial" w:cs="Arial"/>
          <w:b w:val="0"/>
          <w:color w:val="000000"/>
          <w:sz w:val="24"/>
          <w:szCs w:val="24"/>
        </w:rPr>
        <w:t>HUD should</w:t>
      </w:r>
      <w:r w:rsidR="000C2F97" w:rsidRPr="00D028E4">
        <w:rPr>
          <w:rFonts w:ascii="Arial" w:eastAsia="Calibri" w:hAnsi="Arial" w:cs="Arial"/>
          <w:b w:val="0"/>
          <w:color w:val="000000"/>
          <w:sz w:val="24"/>
          <w:szCs w:val="24"/>
        </w:rPr>
        <w:t xml:space="preserve"> specifically define what constitutes criminal activity that threatens health, safety, or right to peaceful enjoyment </w:t>
      </w:r>
      <w:r w:rsidRPr="00D028E4">
        <w:rPr>
          <w:rFonts w:ascii="Arial" w:eastAsia="Calibri" w:hAnsi="Arial" w:cs="Arial"/>
          <w:b w:val="0"/>
          <w:color w:val="000000"/>
          <w:sz w:val="24"/>
          <w:szCs w:val="24"/>
        </w:rPr>
        <w:t xml:space="preserve">to </w:t>
      </w:r>
      <w:r w:rsidR="007738EA" w:rsidRPr="00D028E4">
        <w:rPr>
          <w:rFonts w:ascii="Arial" w:eastAsia="Calibri" w:hAnsi="Arial" w:cs="Arial"/>
          <w:b w:val="0"/>
          <w:color w:val="000000"/>
          <w:sz w:val="24"/>
          <w:szCs w:val="24"/>
        </w:rPr>
        <w:t xml:space="preserve">prevent </w:t>
      </w:r>
      <w:r w:rsidRPr="00D028E4">
        <w:rPr>
          <w:rFonts w:ascii="Arial" w:eastAsia="Calibri" w:hAnsi="Arial" w:cs="Arial"/>
          <w:b w:val="0"/>
          <w:color w:val="000000"/>
          <w:sz w:val="24"/>
          <w:szCs w:val="24"/>
        </w:rPr>
        <w:t>unjustified</w:t>
      </w:r>
      <w:r w:rsidR="007738EA" w:rsidRPr="00D028E4">
        <w:rPr>
          <w:rFonts w:ascii="Arial" w:eastAsia="Calibri" w:hAnsi="Arial" w:cs="Arial"/>
          <w:b w:val="0"/>
          <w:color w:val="000000"/>
          <w:sz w:val="24"/>
          <w:szCs w:val="24"/>
        </w:rPr>
        <w:t xml:space="preserve"> exclusions from housing</w:t>
      </w:r>
      <w:r w:rsidRPr="00D028E4">
        <w:rPr>
          <w:rFonts w:ascii="Arial" w:eastAsia="Calibri" w:hAnsi="Arial" w:cs="Arial"/>
          <w:b w:val="0"/>
          <w:color w:val="000000"/>
          <w:sz w:val="24"/>
          <w:szCs w:val="24"/>
        </w:rPr>
        <w:t xml:space="preserve">. </w:t>
      </w:r>
      <w:r w:rsidR="00B72D99" w:rsidRPr="00D028E4">
        <w:rPr>
          <w:rFonts w:ascii="Arial" w:eastAsia="Calibri" w:hAnsi="Arial" w:cs="Arial"/>
          <w:b w:val="0"/>
          <w:color w:val="000000"/>
          <w:sz w:val="24"/>
          <w:szCs w:val="24"/>
        </w:rPr>
        <w:t>P</w:t>
      </w:r>
      <w:r w:rsidRPr="00D028E4">
        <w:rPr>
          <w:rFonts w:ascii="Arial" w:eastAsia="Calibri" w:hAnsi="Arial" w:cs="Arial"/>
          <w:b w:val="0"/>
          <w:color w:val="000000"/>
          <w:sz w:val="24"/>
          <w:szCs w:val="24"/>
        </w:rPr>
        <w:t>eople with disabilities</w:t>
      </w:r>
      <w:r w:rsidR="00E91C9F" w:rsidRPr="00D028E4">
        <w:rPr>
          <w:rFonts w:ascii="Arial" w:eastAsia="Calibri" w:hAnsi="Arial" w:cs="Arial"/>
          <w:b w:val="0"/>
          <w:color w:val="000000"/>
          <w:sz w:val="24"/>
          <w:szCs w:val="24"/>
        </w:rPr>
        <w:t xml:space="preserve"> </w:t>
      </w:r>
      <w:r w:rsidRPr="00D028E4">
        <w:rPr>
          <w:rFonts w:ascii="Arial" w:eastAsia="Calibri" w:hAnsi="Arial" w:cs="Arial"/>
          <w:b w:val="0"/>
          <w:color w:val="000000"/>
          <w:sz w:val="24"/>
          <w:szCs w:val="24"/>
        </w:rPr>
        <w:t xml:space="preserve">continue to face stigma and bias, </w:t>
      </w:r>
      <w:r w:rsidR="00E91C9F" w:rsidRPr="00D028E4">
        <w:rPr>
          <w:rFonts w:ascii="Arial" w:eastAsia="Calibri" w:hAnsi="Arial" w:cs="Arial"/>
          <w:b w:val="0"/>
          <w:color w:val="000000"/>
          <w:sz w:val="24"/>
          <w:szCs w:val="24"/>
        </w:rPr>
        <w:t xml:space="preserve">such as </w:t>
      </w:r>
      <w:r w:rsidR="00B72D99" w:rsidRPr="00D028E4">
        <w:rPr>
          <w:rFonts w:ascii="Arial" w:eastAsia="Calibri" w:hAnsi="Arial" w:cs="Arial"/>
          <w:b w:val="0"/>
          <w:color w:val="000000"/>
          <w:sz w:val="24"/>
          <w:szCs w:val="24"/>
        </w:rPr>
        <w:t>mis</w:t>
      </w:r>
      <w:r w:rsidRPr="00D028E4">
        <w:rPr>
          <w:rFonts w:ascii="Arial" w:eastAsia="Calibri" w:hAnsi="Arial" w:cs="Arial"/>
          <w:b w:val="0"/>
          <w:color w:val="000000"/>
          <w:sz w:val="24"/>
          <w:szCs w:val="24"/>
        </w:rPr>
        <w:t>perception</w:t>
      </w:r>
      <w:r w:rsidR="00E91C9F" w:rsidRPr="00D028E4">
        <w:rPr>
          <w:rFonts w:ascii="Arial" w:eastAsia="Calibri" w:hAnsi="Arial" w:cs="Arial"/>
          <w:b w:val="0"/>
          <w:color w:val="000000"/>
          <w:sz w:val="24"/>
          <w:szCs w:val="24"/>
        </w:rPr>
        <w:t xml:space="preserve">s that </w:t>
      </w:r>
      <w:r w:rsidRPr="00D028E4">
        <w:rPr>
          <w:rFonts w:ascii="Arial" w:eastAsia="Calibri" w:hAnsi="Arial" w:cs="Arial"/>
          <w:b w:val="0"/>
          <w:color w:val="000000"/>
          <w:sz w:val="24"/>
          <w:szCs w:val="24"/>
        </w:rPr>
        <w:t>people with mental illness are mor</w:t>
      </w:r>
      <w:r w:rsidR="00E91C9F" w:rsidRPr="00D028E4">
        <w:rPr>
          <w:rFonts w:ascii="Arial" w:eastAsia="Calibri" w:hAnsi="Arial" w:cs="Arial"/>
          <w:b w:val="0"/>
          <w:color w:val="000000"/>
          <w:sz w:val="24"/>
          <w:szCs w:val="24"/>
        </w:rPr>
        <w:t>e likely to engage in violence</w:t>
      </w:r>
      <w:r w:rsidR="00D14924" w:rsidRPr="00D028E4">
        <w:rPr>
          <w:rFonts w:ascii="Arial" w:eastAsia="Calibri" w:hAnsi="Arial" w:cs="Arial"/>
          <w:b w:val="0"/>
          <w:color w:val="000000"/>
          <w:sz w:val="24"/>
          <w:szCs w:val="24"/>
        </w:rPr>
        <w:t xml:space="preserve">, </w:t>
      </w:r>
      <w:r w:rsidR="00E91C9F" w:rsidRPr="00D028E4">
        <w:rPr>
          <w:rFonts w:ascii="Arial" w:eastAsia="Calibri" w:hAnsi="Arial" w:cs="Arial"/>
          <w:b w:val="0"/>
          <w:color w:val="000000"/>
          <w:sz w:val="24"/>
          <w:szCs w:val="24"/>
        </w:rPr>
        <w:t xml:space="preserve">despite evidence to the contrary. </w:t>
      </w:r>
      <w:r w:rsidRPr="00D028E4">
        <w:rPr>
          <w:rFonts w:ascii="Arial" w:eastAsia="Calibri" w:hAnsi="Arial" w:cs="Arial"/>
          <w:b w:val="0"/>
          <w:color w:val="000000"/>
          <w:sz w:val="24"/>
          <w:szCs w:val="24"/>
        </w:rPr>
        <w:t>HUD’s 2017 study</w:t>
      </w:r>
      <w:r w:rsidR="00D14924" w:rsidRPr="00D028E4">
        <w:rPr>
          <w:rFonts w:ascii="Arial" w:eastAsia="Calibri" w:hAnsi="Arial" w:cs="Arial"/>
          <w:b w:val="0"/>
          <w:color w:val="000000"/>
          <w:sz w:val="24"/>
          <w:szCs w:val="24"/>
        </w:rPr>
        <w:t>, “</w:t>
      </w:r>
      <w:r w:rsidRPr="00D028E4">
        <w:rPr>
          <w:rFonts w:ascii="Arial" w:eastAsia="Calibri" w:hAnsi="Arial" w:cs="Arial"/>
          <w:b w:val="0"/>
          <w:color w:val="000000"/>
          <w:sz w:val="24"/>
          <w:szCs w:val="24"/>
        </w:rPr>
        <w:t>Rental Housing Discrimination on the Basis of Mental Disabilities</w:t>
      </w:r>
      <w:r w:rsidR="00D14924" w:rsidRPr="00D028E4">
        <w:rPr>
          <w:rFonts w:ascii="Arial" w:eastAsia="Calibri" w:hAnsi="Arial" w:cs="Arial"/>
          <w:b w:val="0"/>
          <w:color w:val="000000"/>
          <w:sz w:val="24"/>
          <w:szCs w:val="24"/>
        </w:rPr>
        <w:t>”</w:t>
      </w:r>
      <w:r w:rsidRPr="00D028E4">
        <w:rPr>
          <w:rFonts w:ascii="Arial" w:eastAsia="Calibri" w:hAnsi="Arial" w:cs="Arial"/>
          <w:b w:val="0"/>
          <w:color w:val="000000"/>
          <w:sz w:val="24"/>
          <w:szCs w:val="24"/>
        </w:rPr>
        <w:t xml:space="preserve"> </w:t>
      </w:r>
      <w:r w:rsidR="0083348F" w:rsidRPr="00D028E4">
        <w:rPr>
          <w:rFonts w:ascii="Arial" w:eastAsia="Calibri" w:hAnsi="Arial" w:cs="Arial"/>
          <w:b w:val="0"/>
          <w:color w:val="000000"/>
          <w:sz w:val="24"/>
          <w:szCs w:val="24"/>
        </w:rPr>
        <w:t xml:space="preserve">(MD) </w:t>
      </w:r>
      <w:r w:rsidRPr="00D028E4">
        <w:rPr>
          <w:rFonts w:ascii="Arial" w:eastAsia="Calibri" w:hAnsi="Arial" w:cs="Arial"/>
          <w:b w:val="0"/>
          <w:color w:val="000000"/>
          <w:sz w:val="24"/>
          <w:szCs w:val="24"/>
        </w:rPr>
        <w:t>documented significant levels of adverse treatment toward individuals with</w:t>
      </w:r>
      <w:r w:rsidR="00D14924" w:rsidRPr="00D028E4">
        <w:rPr>
          <w:rFonts w:ascii="Arial" w:eastAsia="Calibri" w:hAnsi="Arial" w:cs="Arial"/>
          <w:b w:val="0"/>
          <w:color w:val="000000"/>
          <w:sz w:val="24"/>
          <w:szCs w:val="24"/>
        </w:rPr>
        <w:t xml:space="preserve"> mental </w:t>
      </w:r>
      <w:r w:rsidR="0083348F" w:rsidRPr="00D028E4">
        <w:rPr>
          <w:rFonts w:ascii="Arial" w:eastAsia="Calibri" w:hAnsi="Arial" w:cs="Arial"/>
          <w:b w:val="0"/>
          <w:color w:val="000000"/>
          <w:sz w:val="24"/>
          <w:szCs w:val="24"/>
        </w:rPr>
        <w:t xml:space="preserve">illness </w:t>
      </w:r>
      <w:r w:rsidRPr="00D028E4">
        <w:rPr>
          <w:rFonts w:ascii="Arial" w:eastAsia="Calibri" w:hAnsi="Arial" w:cs="Arial"/>
          <w:b w:val="0"/>
          <w:color w:val="000000"/>
          <w:sz w:val="24"/>
          <w:szCs w:val="24"/>
        </w:rPr>
        <w:t>and</w:t>
      </w:r>
      <w:r w:rsidRPr="00D028E4">
        <w:rPr>
          <w:rFonts w:ascii="Arial" w:eastAsia="Calibri" w:hAnsi="Arial" w:cs="Arial"/>
          <w:b w:val="0"/>
          <w:sz w:val="24"/>
          <w:szCs w:val="24"/>
        </w:rPr>
        <w:t xml:space="preserve"> intellectual</w:t>
      </w:r>
      <w:r w:rsidR="00D14924" w:rsidRPr="00D028E4">
        <w:rPr>
          <w:rFonts w:ascii="Arial" w:eastAsia="Calibri" w:hAnsi="Arial" w:cs="Arial"/>
          <w:b w:val="0"/>
          <w:sz w:val="24"/>
          <w:szCs w:val="24"/>
        </w:rPr>
        <w:t>/</w:t>
      </w:r>
      <w:r w:rsidRPr="00D028E4">
        <w:rPr>
          <w:rFonts w:ascii="Arial" w:eastAsia="Calibri" w:hAnsi="Arial" w:cs="Arial"/>
          <w:b w:val="0"/>
          <w:sz w:val="24"/>
          <w:szCs w:val="24"/>
        </w:rPr>
        <w:t xml:space="preserve">developmental disabilities </w:t>
      </w:r>
      <w:r w:rsidRPr="00D028E4">
        <w:rPr>
          <w:rFonts w:ascii="Arial" w:eastAsia="Calibri" w:hAnsi="Arial" w:cs="Arial"/>
          <w:b w:val="0"/>
          <w:color w:val="000000"/>
          <w:sz w:val="24"/>
          <w:szCs w:val="24"/>
        </w:rPr>
        <w:t>when compared with individuals who did not have</w:t>
      </w:r>
      <w:r w:rsidR="00D14924" w:rsidRPr="00D028E4">
        <w:rPr>
          <w:rFonts w:ascii="Arial" w:eastAsia="Calibri" w:hAnsi="Arial" w:cs="Arial"/>
          <w:b w:val="0"/>
          <w:color w:val="000000"/>
          <w:sz w:val="24"/>
          <w:szCs w:val="24"/>
        </w:rPr>
        <w:t xml:space="preserve"> such disabilities</w:t>
      </w:r>
      <w:r w:rsidRPr="00D028E4">
        <w:rPr>
          <w:rFonts w:ascii="Arial" w:eastAsia="Calibri" w:hAnsi="Arial" w:cs="Arial"/>
          <w:b w:val="0"/>
          <w:color w:val="000000"/>
          <w:sz w:val="24"/>
          <w:szCs w:val="24"/>
        </w:rPr>
        <w:t>.</w:t>
      </w:r>
    </w:p>
    <w:p w14:paraId="0000002A" w14:textId="166CC066" w:rsidR="00CD7909" w:rsidRPr="00D028E4" w:rsidRDefault="00C5066B">
      <w:pPr>
        <w:rPr>
          <w:rFonts w:ascii="Arial" w:eastAsia="Calibri" w:hAnsi="Arial" w:cs="Arial"/>
          <w:sz w:val="24"/>
          <w:szCs w:val="24"/>
        </w:rPr>
      </w:pPr>
      <w:r w:rsidRPr="00D028E4">
        <w:rPr>
          <w:rFonts w:ascii="Arial" w:eastAsia="Calibri" w:hAnsi="Arial" w:cs="Arial"/>
          <w:sz w:val="24"/>
          <w:szCs w:val="24"/>
        </w:rPr>
        <w:t>According to the study</w:t>
      </w:r>
      <w:r w:rsidR="00F25EE1" w:rsidRPr="00D028E4">
        <w:rPr>
          <w:rFonts w:ascii="Arial" w:eastAsia="Calibri" w:hAnsi="Arial" w:cs="Arial"/>
          <w:sz w:val="24"/>
          <w:szCs w:val="24"/>
        </w:rPr>
        <w:t>:</w:t>
      </w:r>
      <w:r w:rsidR="0083348F" w:rsidRPr="00D028E4">
        <w:rPr>
          <w:rFonts w:ascii="Arial" w:eastAsia="Calibri" w:hAnsi="Arial" w:cs="Arial"/>
          <w:sz w:val="24"/>
          <w:szCs w:val="24"/>
        </w:rPr>
        <w:t xml:space="preserve"> </w:t>
      </w:r>
    </w:p>
    <w:p w14:paraId="0000002B" w14:textId="77777777" w:rsidR="00CD7909" w:rsidRPr="00D028E4" w:rsidRDefault="00CD7909">
      <w:pPr>
        <w:rPr>
          <w:rFonts w:ascii="Arial" w:eastAsia="Calibri" w:hAnsi="Arial" w:cs="Arial"/>
          <w:sz w:val="24"/>
          <w:szCs w:val="24"/>
        </w:rPr>
      </w:pPr>
    </w:p>
    <w:p w14:paraId="0000002C" w14:textId="4BAD2BB8" w:rsidR="00CD7909" w:rsidRPr="00D028E4" w:rsidRDefault="0083348F">
      <w:pPr>
        <w:ind w:left="720"/>
        <w:rPr>
          <w:rFonts w:ascii="Arial" w:eastAsia="Calibri" w:hAnsi="Arial" w:cs="Arial"/>
          <w:sz w:val="24"/>
          <w:szCs w:val="24"/>
        </w:rPr>
      </w:pPr>
      <w:r w:rsidRPr="00D028E4">
        <w:rPr>
          <w:rFonts w:ascii="Arial" w:eastAsia="Calibri" w:hAnsi="Arial" w:cs="Arial"/>
          <w:sz w:val="24"/>
          <w:szCs w:val="24"/>
        </w:rPr>
        <w:t>“</w:t>
      </w:r>
      <w:r w:rsidR="00C5066B" w:rsidRPr="00D028E4">
        <w:rPr>
          <w:rFonts w:ascii="Arial" w:eastAsia="Calibri" w:hAnsi="Arial" w:cs="Arial"/>
          <w:sz w:val="24"/>
          <w:szCs w:val="24"/>
        </w:rPr>
        <w:t>Individuals with MD often face multiple challenges when they seek housing in the rental housing market. Challenges may include both economic barriers and stigma or suspicion on the part of housing providers that limits their access to diverse housing choices. Complaints based on disability make up the largest number of housing discrimination complaints filed with federal, state, and local fair housing agencies and with private fair housing groups. In 2014, disability complaints made up 51.84 percent, or 14,271 of the total number of 27,528 fair housing complaints filed with HUD, its partner state and local agencies, and private fair housing enforcement organizations. A significant portion of these complaints involves people with MD. For example, HUD noted that, in fiscal year 2010, fully 40 percent of the disability complaints involved MD, which includes people with psychiatric disability or mental illness (PD/MI) and intellectual or developmental disability (I/DD)</w:t>
      </w:r>
      <w:r w:rsidR="00F25EE1" w:rsidRPr="00D028E4">
        <w:rPr>
          <w:rFonts w:ascii="Arial" w:eastAsia="Calibri" w:hAnsi="Arial" w:cs="Arial"/>
          <w:sz w:val="24"/>
          <w:szCs w:val="24"/>
        </w:rPr>
        <w:t>.</w:t>
      </w:r>
      <w:r w:rsidRPr="00D028E4">
        <w:rPr>
          <w:rFonts w:ascii="Arial" w:eastAsia="Calibri" w:hAnsi="Arial" w:cs="Arial"/>
          <w:sz w:val="24"/>
          <w:szCs w:val="24"/>
        </w:rPr>
        <w:t>”</w:t>
      </w:r>
      <w:r w:rsidR="005D4F61" w:rsidRPr="00D028E4">
        <w:rPr>
          <w:rFonts w:ascii="Arial" w:eastAsia="Calibri" w:hAnsi="Arial" w:cs="Arial"/>
          <w:color w:val="000000"/>
          <w:sz w:val="24"/>
          <w:szCs w:val="24"/>
          <w:vertAlign w:val="superscript"/>
        </w:rPr>
        <w:t xml:space="preserve"> </w:t>
      </w:r>
      <w:r w:rsidR="005D4F61" w:rsidRPr="00D028E4">
        <w:rPr>
          <w:rFonts w:ascii="Arial" w:eastAsia="Calibri" w:hAnsi="Arial" w:cs="Arial"/>
          <w:color w:val="000000"/>
          <w:sz w:val="24"/>
          <w:szCs w:val="24"/>
          <w:vertAlign w:val="superscript"/>
        </w:rPr>
        <w:footnoteReference w:id="14"/>
      </w:r>
    </w:p>
    <w:p w14:paraId="0000002D" w14:textId="0727DC47" w:rsidR="00CD7909" w:rsidRPr="00D028E4" w:rsidRDefault="006A56AF">
      <w:pPr>
        <w:pStyle w:val="Heading3"/>
        <w:spacing w:after="200"/>
        <w:rPr>
          <w:rFonts w:ascii="Arial" w:eastAsia="Calibri" w:hAnsi="Arial" w:cs="Arial"/>
          <w:b w:val="0"/>
          <w:color w:val="000000"/>
          <w:sz w:val="24"/>
          <w:szCs w:val="24"/>
        </w:rPr>
      </w:pPr>
      <w:sdt>
        <w:sdtPr>
          <w:rPr>
            <w:rFonts w:ascii="Arial" w:hAnsi="Arial" w:cs="Arial"/>
            <w:sz w:val="24"/>
            <w:szCs w:val="24"/>
          </w:rPr>
          <w:tag w:val="goog_rdk_9"/>
          <w:id w:val="-862748564"/>
        </w:sdtPr>
        <w:sdtEndPr/>
        <w:sdtContent>
          <w:sdt>
            <w:sdtPr>
              <w:rPr>
                <w:rFonts w:ascii="Arial" w:hAnsi="Arial" w:cs="Arial"/>
                <w:sz w:val="24"/>
                <w:szCs w:val="24"/>
              </w:rPr>
              <w:tag w:val="goog_rdk_10"/>
              <w:id w:val="-1535881440"/>
            </w:sdtPr>
            <w:sdtEndPr/>
            <w:sdtContent>
              <w:r w:rsidR="00315C43" w:rsidRPr="00D028E4">
                <w:rPr>
                  <w:rFonts w:ascii="Arial" w:hAnsi="Arial" w:cs="Arial"/>
                  <w:b w:val="0"/>
                  <w:sz w:val="24"/>
                  <w:szCs w:val="24"/>
                </w:rPr>
                <w:t xml:space="preserve">People with disabilities are also often criminalized due to behaviors connected to disability. For example, </w:t>
              </w:r>
            </w:sdtContent>
          </w:sdt>
          <w:r w:rsidR="00315C43" w:rsidRPr="00D028E4">
            <w:rPr>
              <w:rFonts w:ascii="Arial" w:eastAsia="MS Mincho" w:hAnsi="Arial" w:cs="Arial"/>
              <w:b w:val="0"/>
              <w:sz w:val="24"/>
              <w:szCs w:val="24"/>
            </w:rPr>
            <w:t>p</w:t>
          </w:r>
          <w:r w:rsidR="00243E8E" w:rsidRPr="00D028E4">
            <w:rPr>
              <w:rFonts w:ascii="Arial" w:eastAsia="MS Mincho" w:hAnsi="Arial" w:cs="Arial"/>
              <w:b w:val="0"/>
              <w:sz w:val="24"/>
              <w:szCs w:val="24"/>
            </w:rPr>
            <w:t>eople with disabilities experience criminalization due to crime-free or nuisance ordinances that punish tenants for relatively innocuous conduct and frequent calls for emergency services.</w:t>
          </w:r>
          <w:r w:rsidR="00315C43" w:rsidRPr="00D028E4">
            <w:rPr>
              <w:rStyle w:val="FootnoteReference"/>
              <w:rFonts w:ascii="Arial" w:eastAsia="MS Mincho" w:hAnsi="Arial" w:cs="Arial"/>
              <w:b w:val="0"/>
              <w:sz w:val="24"/>
              <w:szCs w:val="24"/>
            </w:rPr>
            <w:footnoteReference w:id="15"/>
          </w:r>
          <w:r w:rsidR="00315C43" w:rsidRPr="00D028E4">
            <w:rPr>
              <w:rFonts w:ascii="Arial" w:eastAsia="MS Mincho" w:hAnsi="Arial" w:cs="Arial"/>
              <w:b w:val="0"/>
              <w:sz w:val="24"/>
              <w:szCs w:val="24"/>
            </w:rPr>
            <w:t xml:space="preserve"> </w:t>
          </w:r>
          <w:r w:rsidR="00C5066B" w:rsidRPr="00D028E4">
            <w:rPr>
              <w:rFonts w:ascii="Arial" w:eastAsia="Calibri" w:hAnsi="Arial" w:cs="Arial"/>
              <w:b w:val="0"/>
              <w:sz w:val="24"/>
              <w:szCs w:val="24"/>
            </w:rPr>
            <w:t>Moreover, people with I/DD and people with communication-related disabilities may interact with others or behave in public spaces in non-normative ways. Unfortunately, such behaviors are disproportionately criminalized even when there is no threat to health and safety. Therefore, the more guidance and training</w:t>
          </w:r>
          <w:r w:rsidR="00243E8E" w:rsidRPr="00D028E4">
            <w:rPr>
              <w:rFonts w:ascii="Arial" w:eastAsia="Calibri" w:hAnsi="Arial" w:cs="Arial"/>
              <w:b w:val="0"/>
              <w:sz w:val="24"/>
              <w:szCs w:val="24"/>
            </w:rPr>
            <w:t xml:space="preserve"> HUD provides</w:t>
          </w:r>
          <w:r w:rsidR="00C5066B" w:rsidRPr="00D028E4">
            <w:rPr>
              <w:rFonts w:ascii="Arial" w:eastAsia="Calibri" w:hAnsi="Arial" w:cs="Arial"/>
              <w:b w:val="0"/>
              <w:sz w:val="24"/>
              <w:szCs w:val="24"/>
            </w:rPr>
            <w:t xml:space="preserve">, the more likely these biases can be minimized and ideally eliminated. </w:t>
          </w:r>
        </w:sdtContent>
      </w:sdt>
    </w:p>
    <w:p w14:paraId="51970306" w14:textId="5BF4782C" w:rsidR="00544FB6" w:rsidRPr="00D028E4" w:rsidRDefault="00C5066B">
      <w:pPr>
        <w:spacing w:after="200"/>
        <w:rPr>
          <w:rFonts w:ascii="Arial" w:eastAsia="Calibri" w:hAnsi="Arial" w:cs="Arial"/>
          <w:sz w:val="24"/>
          <w:szCs w:val="24"/>
        </w:rPr>
      </w:pPr>
      <w:r w:rsidRPr="00D028E4">
        <w:rPr>
          <w:rFonts w:ascii="Arial" w:eastAsia="Calibri" w:hAnsi="Arial" w:cs="Arial"/>
          <w:sz w:val="24"/>
          <w:szCs w:val="24"/>
        </w:rPr>
        <w:t xml:space="preserve">HUD should </w:t>
      </w:r>
      <w:r w:rsidR="00D302EC" w:rsidRPr="00D028E4">
        <w:rPr>
          <w:rFonts w:ascii="Arial" w:eastAsia="Calibri" w:hAnsi="Arial" w:cs="Arial"/>
          <w:sz w:val="24"/>
          <w:szCs w:val="24"/>
        </w:rPr>
        <w:t xml:space="preserve">therefore </w:t>
      </w:r>
      <w:r w:rsidRPr="00D028E4">
        <w:rPr>
          <w:rFonts w:ascii="Arial" w:eastAsia="Calibri" w:hAnsi="Arial" w:cs="Arial"/>
          <w:sz w:val="24"/>
          <w:szCs w:val="24"/>
        </w:rPr>
        <w:t xml:space="preserve">define </w:t>
      </w:r>
      <w:r w:rsidR="00AA62A0" w:rsidRPr="00D028E4">
        <w:rPr>
          <w:rFonts w:ascii="Arial" w:eastAsia="Calibri" w:hAnsi="Arial" w:cs="Arial"/>
          <w:sz w:val="24"/>
          <w:szCs w:val="24"/>
        </w:rPr>
        <w:t xml:space="preserve">threats to </w:t>
      </w:r>
      <w:r w:rsidRPr="00D028E4">
        <w:rPr>
          <w:rFonts w:ascii="Arial" w:eastAsia="Calibri" w:hAnsi="Arial" w:cs="Arial"/>
          <w:sz w:val="24"/>
          <w:szCs w:val="24"/>
        </w:rPr>
        <w:t>health, safety, and right to peaceful enjoyment to preclude overly broad categories of disqualifying criminal activity. Th</w:t>
      </w:r>
      <w:r w:rsidR="007325F5" w:rsidRPr="00D028E4">
        <w:rPr>
          <w:rFonts w:ascii="Arial" w:eastAsia="Calibri" w:hAnsi="Arial" w:cs="Arial"/>
          <w:sz w:val="24"/>
          <w:szCs w:val="24"/>
        </w:rPr>
        <w:t>is</w:t>
      </w:r>
      <w:r w:rsidRPr="00D028E4">
        <w:rPr>
          <w:rFonts w:ascii="Arial" w:eastAsia="Calibri" w:hAnsi="Arial" w:cs="Arial"/>
          <w:sz w:val="24"/>
          <w:szCs w:val="24"/>
        </w:rPr>
        <w:t xml:space="preserve"> definition should ensure that </w:t>
      </w:r>
      <w:r w:rsidR="00AA62A0" w:rsidRPr="00D028E4">
        <w:rPr>
          <w:rFonts w:ascii="Arial" w:eastAsia="Calibri" w:hAnsi="Arial" w:cs="Arial"/>
          <w:sz w:val="24"/>
          <w:szCs w:val="24"/>
        </w:rPr>
        <w:t xml:space="preserve">such threats are </w:t>
      </w:r>
      <w:r w:rsidRPr="00D028E4">
        <w:rPr>
          <w:rFonts w:ascii="Arial" w:eastAsia="Calibri" w:hAnsi="Arial" w:cs="Arial"/>
          <w:sz w:val="24"/>
          <w:szCs w:val="24"/>
        </w:rPr>
        <w:t>actual</w:t>
      </w:r>
      <w:r w:rsidR="0007678D" w:rsidRPr="00D028E4">
        <w:rPr>
          <w:rFonts w:ascii="Arial" w:eastAsia="Calibri" w:hAnsi="Arial" w:cs="Arial"/>
          <w:sz w:val="24"/>
          <w:szCs w:val="24"/>
        </w:rPr>
        <w:t xml:space="preserve"> and substantial </w:t>
      </w:r>
      <w:r w:rsidR="00315C43" w:rsidRPr="00D028E4">
        <w:rPr>
          <w:rFonts w:ascii="Arial" w:eastAsia="Calibri" w:hAnsi="Arial" w:cs="Arial"/>
          <w:sz w:val="24"/>
          <w:szCs w:val="24"/>
        </w:rPr>
        <w:t>and cannot be reduced through reasonable accommodations or other measures</w:t>
      </w:r>
      <w:r w:rsidRPr="00D028E4">
        <w:rPr>
          <w:rFonts w:ascii="Arial" w:eastAsia="Calibri" w:hAnsi="Arial" w:cs="Arial"/>
          <w:sz w:val="24"/>
          <w:szCs w:val="24"/>
        </w:rPr>
        <w:t>.</w:t>
      </w:r>
      <w:r w:rsidR="00544FB6" w:rsidRPr="00D028E4">
        <w:rPr>
          <w:rFonts w:ascii="Arial" w:eastAsia="Calibri" w:hAnsi="Arial" w:cs="Arial"/>
          <w:sz w:val="24"/>
          <w:szCs w:val="24"/>
        </w:rPr>
        <w:t xml:space="preserve"> </w:t>
      </w:r>
      <w:r w:rsidRPr="00D028E4">
        <w:rPr>
          <w:rFonts w:ascii="Arial" w:eastAsia="Calibri" w:hAnsi="Arial" w:cs="Arial"/>
          <w:sz w:val="24"/>
          <w:szCs w:val="24"/>
        </w:rPr>
        <w:t>It should also emphasize that PHAs and owners should not accept “[g]</w:t>
      </w:r>
      <w:proofErr w:type="spellStart"/>
      <w:r w:rsidRPr="00D028E4">
        <w:rPr>
          <w:rFonts w:ascii="Arial" w:eastAsia="Calibri" w:hAnsi="Arial" w:cs="Arial"/>
          <w:sz w:val="24"/>
          <w:szCs w:val="24"/>
        </w:rPr>
        <w:t>eneralized</w:t>
      </w:r>
      <w:proofErr w:type="spellEnd"/>
      <w:r w:rsidRPr="00D028E4">
        <w:rPr>
          <w:rFonts w:ascii="Arial" w:eastAsia="Calibri" w:hAnsi="Arial" w:cs="Arial"/>
          <w:sz w:val="24"/>
          <w:szCs w:val="24"/>
        </w:rPr>
        <w:t xml:space="preserve"> assumption,” “subjective fears,” or “speculation” as conclusive evidence of disqualifying activity.</w:t>
      </w:r>
      <w:r w:rsidRPr="00D028E4">
        <w:rPr>
          <w:rFonts w:ascii="Arial" w:eastAsia="Calibri" w:hAnsi="Arial" w:cs="Arial"/>
          <w:sz w:val="24"/>
          <w:szCs w:val="24"/>
          <w:vertAlign w:val="superscript"/>
        </w:rPr>
        <w:footnoteReference w:id="16"/>
      </w:r>
      <w:r w:rsidRPr="00D028E4">
        <w:rPr>
          <w:rFonts w:ascii="Arial" w:eastAsia="Calibri" w:hAnsi="Arial" w:cs="Arial"/>
          <w:sz w:val="24"/>
          <w:szCs w:val="24"/>
        </w:rPr>
        <w:t xml:space="preserve"> </w:t>
      </w:r>
    </w:p>
    <w:p w14:paraId="47D77100" w14:textId="1C265BE1" w:rsidR="00AA62A0" w:rsidRPr="00D028E4" w:rsidRDefault="00544FB6">
      <w:pPr>
        <w:spacing w:after="200"/>
        <w:rPr>
          <w:rFonts w:ascii="Arial" w:eastAsia="Calibri" w:hAnsi="Arial" w:cs="Arial"/>
          <w:sz w:val="24"/>
          <w:szCs w:val="24"/>
        </w:rPr>
      </w:pPr>
      <w:r w:rsidRPr="00D028E4">
        <w:rPr>
          <w:rFonts w:ascii="Arial" w:eastAsia="Calibri" w:hAnsi="Arial" w:cs="Arial"/>
          <w:sz w:val="24"/>
          <w:szCs w:val="24"/>
        </w:rPr>
        <w:t xml:space="preserve">The </w:t>
      </w:r>
      <w:r w:rsidR="00255A2B" w:rsidRPr="00D028E4">
        <w:rPr>
          <w:rFonts w:ascii="Arial" w:eastAsia="Calibri" w:hAnsi="Arial" w:cs="Arial"/>
          <w:sz w:val="24"/>
          <w:szCs w:val="24"/>
        </w:rPr>
        <w:t>Fair Housing Act</w:t>
      </w:r>
      <w:r w:rsidR="000F2767" w:rsidRPr="00D028E4">
        <w:rPr>
          <w:rFonts w:ascii="Arial" w:eastAsia="Calibri" w:hAnsi="Arial" w:cs="Arial"/>
          <w:sz w:val="24"/>
          <w:szCs w:val="24"/>
        </w:rPr>
        <w:t xml:space="preserve"> (FHA)</w:t>
      </w:r>
      <w:r w:rsidR="00255A2B" w:rsidRPr="00D028E4">
        <w:rPr>
          <w:rFonts w:ascii="Arial" w:eastAsia="Calibri" w:hAnsi="Arial" w:cs="Arial"/>
          <w:sz w:val="24"/>
          <w:szCs w:val="24"/>
        </w:rPr>
        <w:t xml:space="preserve">’s </w:t>
      </w:r>
      <w:r w:rsidR="000A29A9" w:rsidRPr="00D028E4">
        <w:rPr>
          <w:rFonts w:ascii="Arial" w:eastAsia="Calibri" w:hAnsi="Arial" w:cs="Arial"/>
          <w:sz w:val="24"/>
          <w:szCs w:val="24"/>
        </w:rPr>
        <w:t>“direct threat”</w:t>
      </w:r>
      <w:r w:rsidRPr="00D028E4">
        <w:rPr>
          <w:rFonts w:ascii="Arial" w:eastAsia="Calibri" w:hAnsi="Arial" w:cs="Arial"/>
          <w:sz w:val="24"/>
          <w:szCs w:val="24"/>
        </w:rPr>
        <w:t xml:space="preserve"> </w:t>
      </w:r>
      <w:r w:rsidR="00255A2B" w:rsidRPr="00D028E4">
        <w:rPr>
          <w:rFonts w:ascii="Arial" w:eastAsia="Calibri" w:hAnsi="Arial" w:cs="Arial"/>
          <w:sz w:val="24"/>
          <w:szCs w:val="24"/>
        </w:rPr>
        <w:t xml:space="preserve">exemption </w:t>
      </w:r>
      <w:r w:rsidRPr="00D028E4">
        <w:rPr>
          <w:rFonts w:ascii="Arial" w:eastAsia="Calibri" w:hAnsi="Arial" w:cs="Arial"/>
          <w:sz w:val="24"/>
          <w:szCs w:val="24"/>
        </w:rPr>
        <w:t xml:space="preserve">provides a </w:t>
      </w:r>
      <w:r w:rsidR="00DA29FD" w:rsidRPr="00D028E4">
        <w:rPr>
          <w:rFonts w:ascii="Arial" w:eastAsia="Calibri" w:hAnsi="Arial" w:cs="Arial"/>
          <w:sz w:val="24"/>
          <w:szCs w:val="24"/>
        </w:rPr>
        <w:t>framewor</w:t>
      </w:r>
      <w:r w:rsidR="00B5633B" w:rsidRPr="00D028E4">
        <w:rPr>
          <w:rFonts w:ascii="Arial" w:eastAsia="Calibri" w:hAnsi="Arial" w:cs="Arial"/>
          <w:sz w:val="24"/>
          <w:szCs w:val="24"/>
        </w:rPr>
        <w:t>k</w:t>
      </w:r>
      <w:r w:rsidRPr="00D028E4">
        <w:rPr>
          <w:rFonts w:ascii="Arial" w:eastAsia="Calibri" w:hAnsi="Arial" w:cs="Arial"/>
          <w:sz w:val="24"/>
          <w:szCs w:val="24"/>
        </w:rPr>
        <w:t xml:space="preserve"> for defining threats to health, safety, or peaceful enjoyment. </w:t>
      </w:r>
      <w:r w:rsidR="000F2767" w:rsidRPr="00D028E4">
        <w:rPr>
          <w:rFonts w:ascii="Arial" w:eastAsia="Calibri" w:hAnsi="Arial" w:cs="Arial"/>
          <w:sz w:val="24"/>
          <w:szCs w:val="24"/>
        </w:rPr>
        <w:t xml:space="preserve">Under the FHA, </w:t>
      </w:r>
      <w:r w:rsidR="00C5066B" w:rsidRPr="00D028E4">
        <w:rPr>
          <w:rFonts w:ascii="Arial" w:eastAsia="Calibri" w:hAnsi="Arial" w:cs="Arial"/>
          <w:sz w:val="24"/>
          <w:szCs w:val="24"/>
        </w:rPr>
        <w:t xml:space="preserve">landlords </w:t>
      </w:r>
      <w:r w:rsidR="000F2767" w:rsidRPr="00D028E4">
        <w:rPr>
          <w:rFonts w:ascii="Arial" w:eastAsia="Calibri" w:hAnsi="Arial" w:cs="Arial"/>
          <w:sz w:val="24"/>
          <w:szCs w:val="24"/>
        </w:rPr>
        <w:t>must</w:t>
      </w:r>
      <w:r w:rsidR="00C5066B" w:rsidRPr="00D028E4">
        <w:rPr>
          <w:rFonts w:ascii="Arial" w:eastAsia="Calibri" w:hAnsi="Arial" w:cs="Arial"/>
          <w:sz w:val="24"/>
          <w:szCs w:val="24"/>
        </w:rPr>
        <w:t xml:space="preserve"> provide reasonable accommodations to people with disabilities unless their tenancy would constitute a direct threat to the health and safety of other individuals.</w:t>
      </w:r>
      <w:r w:rsidR="00AA62A0" w:rsidRPr="00D028E4">
        <w:rPr>
          <w:rFonts w:ascii="Arial" w:eastAsia="Calibri" w:hAnsi="Arial" w:cs="Arial"/>
          <w:sz w:val="24"/>
          <w:szCs w:val="24"/>
          <w:vertAlign w:val="superscript"/>
        </w:rPr>
        <w:footnoteReference w:id="17"/>
      </w:r>
      <w:r w:rsidR="00AA62A0" w:rsidRPr="00D028E4">
        <w:rPr>
          <w:rFonts w:ascii="Arial" w:eastAsia="Calibri" w:hAnsi="Arial" w:cs="Arial"/>
          <w:sz w:val="24"/>
          <w:szCs w:val="24"/>
        </w:rPr>
        <w:t xml:space="preserve"> </w:t>
      </w:r>
      <w:r w:rsidR="00C5066B" w:rsidRPr="00D028E4">
        <w:rPr>
          <w:rFonts w:ascii="Arial" w:eastAsia="Calibri" w:hAnsi="Arial" w:cs="Arial"/>
          <w:sz w:val="24"/>
          <w:szCs w:val="24"/>
        </w:rPr>
        <w:t>Joint HUD-DOJ guidance stresses that landlords may not exclude individuals “based upon fear, speculation or stereotype about a particular disability or persons with disabilities in general.”</w:t>
      </w:r>
      <w:r w:rsidR="00AA62A0" w:rsidRPr="00D028E4">
        <w:rPr>
          <w:rFonts w:ascii="Arial" w:eastAsia="Calibri" w:hAnsi="Arial" w:cs="Arial"/>
          <w:sz w:val="24"/>
          <w:szCs w:val="24"/>
          <w:vertAlign w:val="superscript"/>
        </w:rPr>
        <w:t xml:space="preserve"> </w:t>
      </w:r>
      <w:r w:rsidR="00C5066B" w:rsidRPr="00D028E4">
        <w:rPr>
          <w:rFonts w:ascii="Arial" w:eastAsia="Calibri" w:hAnsi="Arial" w:cs="Arial"/>
          <w:sz w:val="24"/>
          <w:szCs w:val="24"/>
        </w:rPr>
        <w:t>Rather, their “determination that an individual poses a direct threat must rely on an individualized assessment that is based on reliable objective evidence (e.g., current conduct, or a recent history of overt acts).”</w:t>
      </w:r>
      <w:r w:rsidR="00AA62A0" w:rsidRPr="00D028E4">
        <w:rPr>
          <w:rFonts w:ascii="Arial" w:eastAsia="Calibri" w:hAnsi="Arial" w:cs="Arial"/>
          <w:sz w:val="24"/>
          <w:szCs w:val="24"/>
          <w:vertAlign w:val="superscript"/>
        </w:rPr>
        <w:footnoteReference w:id="18"/>
      </w:r>
    </w:p>
    <w:p w14:paraId="0000002E" w14:textId="6CBF689A" w:rsidR="00CD7909" w:rsidRPr="00D028E4" w:rsidRDefault="00507818">
      <w:pPr>
        <w:spacing w:after="200"/>
        <w:rPr>
          <w:rFonts w:ascii="Arial" w:eastAsia="Calibri" w:hAnsi="Arial" w:cs="Arial"/>
          <w:sz w:val="24"/>
          <w:szCs w:val="24"/>
        </w:rPr>
      </w:pPr>
      <w:r w:rsidRPr="00D028E4">
        <w:rPr>
          <w:rFonts w:ascii="Arial" w:eastAsia="Calibri" w:hAnsi="Arial" w:cs="Arial"/>
          <w:sz w:val="24"/>
          <w:szCs w:val="24"/>
        </w:rPr>
        <w:t xml:space="preserve">Another advantage to </w:t>
      </w:r>
      <w:r w:rsidR="007325F5" w:rsidRPr="00D028E4">
        <w:rPr>
          <w:rFonts w:ascii="Arial" w:eastAsia="Calibri" w:hAnsi="Arial" w:cs="Arial"/>
          <w:sz w:val="24"/>
          <w:szCs w:val="24"/>
        </w:rPr>
        <w:t xml:space="preserve">adopting </w:t>
      </w:r>
      <w:r w:rsidRPr="00D028E4">
        <w:rPr>
          <w:rFonts w:ascii="Arial" w:eastAsia="Calibri" w:hAnsi="Arial" w:cs="Arial"/>
          <w:sz w:val="24"/>
          <w:szCs w:val="24"/>
        </w:rPr>
        <w:t xml:space="preserve">a definition </w:t>
      </w:r>
      <w:r w:rsidR="007B15F1">
        <w:rPr>
          <w:rFonts w:ascii="Arial" w:eastAsia="Calibri" w:hAnsi="Arial" w:cs="Arial"/>
          <w:sz w:val="24"/>
          <w:szCs w:val="24"/>
        </w:rPr>
        <w:t xml:space="preserve">aligning with that </w:t>
      </w:r>
      <w:r w:rsidRPr="00D028E4">
        <w:rPr>
          <w:rFonts w:ascii="Arial" w:eastAsia="Calibri" w:hAnsi="Arial" w:cs="Arial"/>
          <w:sz w:val="24"/>
          <w:szCs w:val="24"/>
        </w:rPr>
        <w:t xml:space="preserve">of the </w:t>
      </w:r>
      <w:r w:rsidR="000F2767" w:rsidRPr="00D028E4">
        <w:rPr>
          <w:rFonts w:ascii="Arial" w:eastAsia="Calibri" w:hAnsi="Arial" w:cs="Arial"/>
          <w:sz w:val="24"/>
          <w:szCs w:val="24"/>
        </w:rPr>
        <w:t xml:space="preserve">FHA’s </w:t>
      </w:r>
      <w:r w:rsidRPr="00D028E4">
        <w:rPr>
          <w:rFonts w:ascii="Arial" w:eastAsia="Calibri" w:hAnsi="Arial" w:cs="Arial"/>
          <w:sz w:val="24"/>
          <w:szCs w:val="24"/>
        </w:rPr>
        <w:t xml:space="preserve">direct threat exemption is that </w:t>
      </w:r>
      <w:r w:rsidR="00C5066B" w:rsidRPr="00D028E4">
        <w:rPr>
          <w:rFonts w:ascii="Arial" w:eastAsia="Calibri" w:hAnsi="Arial" w:cs="Arial"/>
          <w:sz w:val="24"/>
          <w:szCs w:val="24"/>
        </w:rPr>
        <w:t xml:space="preserve">many </w:t>
      </w:r>
      <w:r w:rsidRPr="00D028E4">
        <w:rPr>
          <w:rFonts w:ascii="Arial" w:eastAsia="Calibri" w:hAnsi="Arial" w:cs="Arial"/>
          <w:sz w:val="24"/>
          <w:szCs w:val="24"/>
        </w:rPr>
        <w:t xml:space="preserve">housing providers are already familiar with the latter. </w:t>
      </w:r>
      <w:r w:rsidR="00C5066B" w:rsidRPr="00D028E4">
        <w:rPr>
          <w:rFonts w:ascii="Arial" w:eastAsia="Calibri" w:hAnsi="Arial" w:cs="Arial"/>
          <w:sz w:val="24"/>
          <w:szCs w:val="24"/>
        </w:rPr>
        <w:t xml:space="preserve">Building on existing </w:t>
      </w:r>
      <w:r w:rsidRPr="00D028E4">
        <w:rPr>
          <w:rFonts w:ascii="Arial" w:eastAsia="Calibri" w:hAnsi="Arial" w:cs="Arial"/>
          <w:sz w:val="24"/>
          <w:szCs w:val="24"/>
        </w:rPr>
        <w:t>guidance</w:t>
      </w:r>
      <w:r w:rsidR="00C5066B" w:rsidRPr="00D028E4">
        <w:rPr>
          <w:rFonts w:ascii="Arial" w:eastAsia="Calibri" w:hAnsi="Arial" w:cs="Arial"/>
          <w:sz w:val="24"/>
          <w:szCs w:val="24"/>
        </w:rPr>
        <w:t>, policies</w:t>
      </w:r>
      <w:r w:rsidRPr="00D028E4">
        <w:rPr>
          <w:rFonts w:ascii="Arial" w:eastAsia="Calibri" w:hAnsi="Arial" w:cs="Arial"/>
          <w:sz w:val="24"/>
          <w:szCs w:val="24"/>
        </w:rPr>
        <w:t>,</w:t>
      </w:r>
      <w:r w:rsidR="00C5066B" w:rsidRPr="00D028E4">
        <w:rPr>
          <w:rFonts w:ascii="Arial" w:eastAsia="Calibri" w:hAnsi="Arial" w:cs="Arial"/>
          <w:sz w:val="24"/>
          <w:szCs w:val="24"/>
        </w:rPr>
        <w:t xml:space="preserve"> and procedures </w:t>
      </w:r>
      <w:r w:rsidRPr="00D028E4">
        <w:rPr>
          <w:rFonts w:ascii="Arial" w:eastAsia="Calibri" w:hAnsi="Arial" w:cs="Arial"/>
          <w:sz w:val="24"/>
          <w:szCs w:val="24"/>
        </w:rPr>
        <w:t xml:space="preserve">will </w:t>
      </w:r>
      <w:r w:rsidR="007325F5" w:rsidRPr="00D028E4">
        <w:rPr>
          <w:rFonts w:ascii="Arial" w:eastAsia="Calibri" w:hAnsi="Arial" w:cs="Arial"/>
          <w:sz w:val="24"/>
          <w:szCs w:val="24"/>
        </w:rPr>
        <w:t xml:space="preserve">increase the likelihood of </w:t>
      </w:r>
      <w:r w:rsidRPr="00D028E4">
        <w:rPr>
          <w:rFonts w:ascii="Arial" w:eastAsia="Calibri" w:hAnsi="Arial" w:cs="Arial"/>
          <w:sz w:val="24"/>
          <w:szCs w:val="24"/>
        </w:rPr>
        <w:t>PHAs and owners apply</w:t>
      </w:r>
      <w:r w:rsidR="007325F5" w:rsidRPr="00D028E4">
        <w:rPr>
          <w:rFonts w:ascii="Arial" w:eastAsia="Calibri" w:hAnsi="Arial" w:cs="Arial"/>
          <w:sz w:val="24"/>
          <w:szCs w:val="24"/>
        </w:rPr>
        <w:t>ing</w:t>
      </w:r>
      <w:r w:rsidRPr="00D028E4">
        <w:rPr>
          <w:rFonts w:ascii="Arial" w:eastAsia="Calibri" w:hAnsi="Arial" w:cs="Arial"/>
          <w:sz w:val="24"/>
          <w:szCs w:val="24"/>
        </w:rPr>
        <w:t xml:space="preserve"> this new rule</w:t>
      </w:r>
      <w:r w:rsidR="007325F5" w:rsidRPr="00D028E4">
        <w:rPr>
          <w:rFonts w:ascii="Arial" w:eastAsia="Calibri" w:hAnsi="Arial" w:cs="Arial"/>
          <w:sz w:val="24"/>
          <w:szCs w:val="24"/>
        </w:rPr>
        <w:t xml:space="preserve"> correctly and consistently. </w:t>
      </w:r>
    </w:p>
    <w:p w14:paraId="0000002F" w14:textId="73D16F29" w:rsidR="00CD7909" w:rsidRPr="00D028E4" w:rsidRDefault="00C5066B">
      <w:pPr>
        <w:pBdr>
          <w:top w:val="nil"/>
          <w:left w:val="nil"/>
          <w:bottom w:val="nil"/>
          <w:right w:val="nil"/>
          <w:between w:val="nil"/>
        </w:pBdr>
        <w:tabs>
          <w:tab w:val="left" w:pos="10080"/>
        </w:tabs>
        <w:spacing w:before="3"/>
        <w:rPr>
          <w:rFonts w:ascii="Arial" w:eastAsia="Calibri" w:hAnsi="Arial" w:cs="Arial"/>
          <w:i/>
          <w:sz w:val="24"/>
          <w:szCs w:val="24"/>
        </w:rPr>
      </w:pPr>
      <w:r w:rsidRPr="00D028E4">
        <w:rPr>
          <w:rFonts w:ascii="Arial" w:eastAsia="Calibri" w:hAnsi="Arial" w:cs="Arial"/>
          <w:b/>
          <w:sz w:val="24"/>
          <w:szCs w:val="24"/>
        </w:rPr>
        <w:t>Question #11</w:t>
      </w:r>
      <w:r w:rsidRPr="00D028E4">
        <w:rPr>
          <w:rFonts w:ascii="Arial" w:eastAsia="Calibri" w:hAnsi="Arial" w:cs="Arial"/>
          <w:sz w:val="24"/>
          <w:szCs w:val="24"/>
        </w:rPr>
        <w:t xml:space="preserve">: </w:t>
      </w:r>
      <w:r w:rsidRPr="00D028E4">
        <w:rPr>
          <w:rFonts w:ascii="Arial" w:eastAsia="Calibri" w:hAnsi="Arial" w:cs="Arial"/>
          <w:b/>
          <w:sz w:val="24"/>
          <w:szCs w:val="24"/>
        </w:rPr>
        <w:t>Continued use of the term ‘‘alcohol abuse</w:t>
      </w:r>
      <w:r w:rsidR="00507818" w:rsidRPr="00D028E4">
        <w:rPr>
          <w:rFonts w:ascii="Arial" w:eastAsia="Calibri" w:hAnsi="Arial" w:cs="Arial"/>
          <w:b/>
          <w:sz w:val="24"/>
          <w:szCs w:val="24"/>
        </w:rPr>
        <w:t>.</w:t>
      </w:r>
      <w:r w:rsidRPr="00D028E4">
        <w:rPr>
          <w:rFonts w:ascii="Arial" w:eastAsia="Calibri" w:hAnsi="Arial" w:cs="Arial"/>
          <w:b/>
          <w:sz w:val="24"/>
          <w:szCs w:val="24"/>
        </w:rPr>
        <w:t>’’</w:t>
      </w:r>
      <w:r w:rsidR="00D36E25" w:rsidRPr="00D028E4">
        <w:rPr>
          <w:rFonts w:ascii="Arial" w:eastAsia="Calibri" w:hAnsi="Arial" w:cs="Arial"/>
          <w:i/>
          <w:sz w:val="24"/>
          <w:szCs w:val="24"/>
        </w:rPr>
        <w:t xml:space="preserve"> </w:t>
      </w:r>
      <w:r w:rsidRPr="00D028E4">
        <w:rPr>
          <w:rFonts w:ascii="Arial" w:eastAsia="Calibri" w:hAnsi="Arial" w:cs="Arial"/>
          <w:i/>
          <w:sz w:val="24"/>
          <w:szCs w:val="24"/>
        </w:rPr>
        <w:t>As discussed in the preamble, this proposed rule continues the use of the statutory term ‘‘alcohol abuse’’ when describing the relevant potential disqualifying circumstances related to alcohol. HUD seeks public comment on the continued use of the term and whether there are alternative, less pejorative, and/or more current terms that could replace ‘‘alcohol abuse</w:t>
      </w:r>
      <w:r w:rsidR="00591245" w:rsidRPr="00D028E4">
        <w:rPr>
          <w:rFonts w:ascii="Arial" w:eastAsia="Calibri" w:hAnsi="Arial" w:cs="Arial"/>
          <w:i/>
          <w:sz w:val="24"/>
          <w:szCs w:val="24"/>
        </w:rPr>
        <w:t>.</w:t>
      </w:r>
      <w:r w:rsidRPr="00D028E4">
        <w:rPr>
          <w:rFonts w:ascii="Arial" w:eastAsia="Calibri" w:hAnsi="Arial" w:cs="Arial"/>
          <w:i/>
          <w:sz w:val="24"/>
          <w:szCs w:val="24"/>
        </w:rPr>
        <w:t>’’</w:t>
      </w:r>
    </w:p>
    <w:p w14:paraId="00000030" w14:textId="77777777" w:rsidR="00CD7909" w:rsidRPr="00D028E4" w:rsidRDefault="00CD7909">
      <w:pPr>
        <w:rPr>
          <w:rFonts w:ascii="Arial" w:eastAsia="Calibri" w:hAnsi="Arial" w:cs="Arial"/>
          <w:b/>
          <w:sz w:val="24"/>
          <w:szCs w:val="24"/>
        </w:rPr>
      </w:pPr>
    </w:p>
    <w:p w14:paraId="06CD99D5" w14:textId="4D5B6C0A" w:rsidR="00591245" w:rsidRPr="00D028E4" w:rsidRDefault="005024A0">
      <w:pPr>
        <w:rPr>
          <w:rFonts w:ascii="Arial" w:eastAsia="Calibri" w:hAnsi="Arial" w:cs="Arial"/>
          <w:sz w:val="24"/>
          <w:szCs w:val="24"/>
        </w:rPr>
      </w:pPr>
      <w:r w:rsidRPr="00D028E4">
        <w:rPr>
          <w:rFonts w:ascii="Arial" w:eastAsia="Calibri" w:hAnsi="Arial" w:cs="Arial"/>
          <w:sz w:val="24"/>
          <w:szCs w:val="24"/>
        </w:rPr>
        <w:lastRenderedPageBreak/>
        <w:t>Th</w:t>
      </w:r>
      <w:r w:rsidR="00045A31" w:rsidRPr="00D028E4">
        <w:rPr>
          <w:rFonts w:ascii="Arial" w:eastAsia="Calibri" w:hAnsi="Arial" w:cs="Arial"/>
          <w:sz w:val="24"/>
          <w:szCs w:val="24"/>
        </w:rPr>
        <w:t>e</w:t>
      </w:r>
      <w:r w:rsidRPr="00D028E4">
        <w:rPr>
          <w:rFonts w:ascii="Arial" w:eastAsia="Calibri" w:hAnsi="Arial" w:cs="Arial"/>
          <w:sz w:val="24"/>
          <w:szCs w:val="24"/>
        </w:rPr>
        <w:t xml:space="preserve"> NPRM explains that HUD is declining to use the term “alcohol use disorder” (AUD) </w:t>
      </w:r>
      <w:r w:rsidR="00045A31" w:rsidRPr="00D028E4">
        <w:rPr>
          <w:rFonts w:ascii="Arial" w:eastAsia="Calibri" w:hAnsi="Arial" w:cs="Arial"/>
          <w:sz w:val="24"/>
          <w:szCs w:val="24"/>
        </w:rPr>
        <w:t xml:space="preserve">in part to avoid </w:t>
      </w:r>
      <w:r w:rsidRPr="00D028E4">
        <w:rPr>
          <w:rFonts w:ascii="Arial" w:eastAsia="Calibri" w:hAnsi="Arial" w:cs="Arial"/>
          <w:sz w:val="24"/>
          <w:szCs w:val="24"/>
        </w:rPr>
        <w:t xml:space="preserve">conflict with civil rights laws due to AUD qualifying as a disability under the FHA. In the final rule, </w:t>
      </w:r>
      <w:r w:rsidR="00591245" w:rsidRPr="00D028E4">
        <w:rPr>
          <w:rFonts w:ascii="Arial" w:eastAsia="Calibri" w:hAnsi="Arial" w:cs="Arial"/>
          <w:sz w:val="24"/>
          <w:szCs w:val="24"/>
        </w:rPr>
        <w:t>HUD should more clearly distinguish alcohol abuse from alcohol use arising from</w:t>
      </w:r>
      <w:r w:rsidRPr="00D028E4">
        <w:rPr>
          <w:rFonts w:ascii="Arial" w:eastAsia="Calibri" w:hAnsi="Arial" w:cs="Arial"/>
          <w:sz w:val="24"/>
          <w:szCs w:val="24"/>
        </w:rPr>
        <w:t xml:space="preserve"> AUD</w:t>
      </w:r>
      <w:r w:rsidR="00591245" w:rsidRPr="00D028E4">
        <w:rPr>
          <w:rFonts w:ascii="Arial" w:eastAsia="Calibri" w:hAnsi="Arial" w:cs="Arial"/>
          <w:sz w:val="24"/>
          <w:szCs w:val="24"/>
        </w:rPr>
        <w:t xml:space="preserve">, and we urge HUD to clarify that people with </w:t>
      </w:r>
      <w:r w:rsidRPr="00D028E4">
        <w:rPr>
          <w:rFonts w:ascii="Arial" w:eastAsia="Calibri" w:hAnsi="Arial" w:cs="Arial"/>
          <w:sz w:val="24"/>
          <w:szCs w:val="24"/>
        </w:rPr>
        <w:t xml:space="preserve">AUD </w:t>
      </w:r>
      <w:r w:rsidR="00591245" w:rsidRPr="00D028E4">
        <w:rPr>
          <w:rFonts w:ascii="Arial" w:eastAsia="Calibri" w:hAnsi="Arial" w:cs="Arial"/>
          <w:sz w:val="24"/>
          <w:szCs w:val="24"/>
        </w:rPr>
        <w:t xml:space="preserve">may </w:t>
      </w:r>
      <w:r w:rsidR="00E01BE3" w:rsidRPr="00D028E4">
        <w:rPr>
          <w:rFonts w:ascii="Arial" w:eastAsia="Calibri" w:hAnsi="Arial" w:cs="Arial"/>
          <w:sz w:val="24"/>
          <w:szCs w:val="24"/>
        </w:rPr>
        <w:t xml:space="preserve">be entitled to </w:t>
      </w:r>
      <w:r w:rsidR="00591245" w:rsidRPr="00D028E4">
        <w:rPr>
          <w:rFonts w:ascii="Arial" w:eastAsia="Calibri" w:hAnsi="Arial" w:cs="Arial"/>
          <w:sz w:val="24"/>
          <w:szCs w:val="24"/>
        </w:rPr>
        <w:t xml:space="preserve">reasonable accommodations. </w:t>
      </w:r>
    </w:p>
    <w:p w14:paraId="125B2E1A" w14:textId="4F045B6F" w:rsidR="005E05FE" w:rsidRPr="00D028E4" w:rsidRDefault="005E05FE">
      <w:pPr>
        <w:rPr>
          <w:rFonts w:ascii="Arial" w:eastAsia="Calibri" w:hAnsi="Arial" w:cs="Arial"/>
          <w:sz w:val="24"/>
          <w:szCs w:val="24"/>
        </w:rPr>
      </w:pPr>
    </w:p>
    <w:p w14:paraId="00000035" w14:textId="2B078D85" w:rsidR="00CD7909" w:rsidRPr="00D028E4" w:rsidRDefault="005E05FE" w:rsidP="00E01BE3">
      <w:pPr>
        <w:rPr>
          <w:rFonts w:ascii="Arial" w:eastAsia="Calibri" w:hAnsi="Arial" w:cs="Arial"/>
          <w:sz w:val="24"/>
          <w:szCs w:val="24"/>
        </w:rPr>
      </w:pPr>
      <w:r w:rsidRPr="00D028E4">
        <w:rPr>
          <w:rFonts w:ascii="Arial" w:eastAsia="Calibri" w:hAnsi="Arial" w:cs="Arial"/>
          <w:sz w:val="24"/>
          <w:szCs w:val="24"/>
        </w:rPr>
        <w:t xml:space="preserve">Stable housing is critical for people trying to recover from AUD, but </w:t>
      </w:r>
      <w:r w:rsidR="00C13C46" w:rsidRPr="00D028E4">
        <w:rPr>
          <w:rFonts w:ascii="Arial" w:eastAsia="Calibri" w:hAnsi="Arial" w:cs="Arial"/>
          <w:sz w:val="24"/>
          <w:szCs w:val="24"/>
        </w:rPr>
        <w:t>like others with disabilities, people with AUD may be vulnerable to overcriminalization and being labeled as threats to health</w:t>
      </w:r>
      <w:r w:rsidR="00B018EB" w:rsidRPr="00D028E4">
        <w:rPr>
          <w:rFonts w:ascii="Arial" w:eastAsia="Calibri" w:hAnsi="Arial" w:cs="Arial"/>
          <w:sz w:val="24"/>
          <w:szCs w:val="24"/>
        </w:rPr>
        <w:t xml:space="preserve"> and safety. </w:t>
      </w:r>
      <w:r w:rsidR="00C13C46" w:rsidRPr="00D028E4">
        <w:rPr>
          <w:rFonts w:ascii="Arial" w:eastAsia="Calibri" w:hAnsi="Arial" w:cs="Arial"/>
          <w:sz w:val="24"/>
          <w:szCs w:val="24"/>
        </w:rPr>
        <w:t>As we previously noted, HUD should narrowly define “threats to health, safety, or right to peaceful enjoyment” to minimize unjustified exclusions.</w:t>
      </w:r>
      <w:r w:rsidR="00AC4F0D">
        <w:rPr>
          <w:rFonts w:ascii="Arial" w:eastAsia="Calibri" w:hAnsi="Arial" w:cs="Arial"/>
          <w:sz w:val="24"/>
          <w:szCs w:val="24"/>
        </w:rPr>
        <w:t xml:space="preserve"> </w:t>
      </w:r>
      <w:r w:rsidR="00E01BE3" w:rsidRPr="00D028E4">
        <w:rPr>
          <w:rFonts w:ascii="Arial" w:eastAsia="Calibri" w:hAnsi="Arial" w:cs="Arial"/>
          <w:sz w:val="24"/>
          <w:szCs w:val="24"/>
        </w:rPr>
        <w:t>We also note that s</w:t>
      </w:r>
      <w:r w:rsidR="00C5066B" w:rsidRPr="00D028E4">
        <w:rPr>
          <w:rFonts w:ascii="Arial" w:eastAsia="Calibri" w:hAnsi="Arial" w:cs="Arial"/>
          <w:sz w:val="24"/>
          <w:szCs w:val="24"/>
        </w:rPr>
        <w:t xml:space="preserve">creening </w:t>
      </w:r>
      <w:r w:rsidR="00E01BE3" w:rsidRPr="00D028E4">
        <w:rPr>
          <w:rFonts w:ascii="Arial" w:eastAsia="Calibri" w:hAnsi="Arial" w:cs="Arial"/>
          <w:sz w:val="24"/>
          <w:szCs w:val="24"/>
        </w:rPr>
        <w:t xml:space="preserve">based on alcohol abuse </w:t>
      </w:r>
      <w:r w:rsidR="00B018EB" w:rsidRPr="00D028E4">
        <w:rPr>
          <w:rFonts w:ascii="Arial" w:eastAsia="Calibri" w:hAnsi="Arial" w:cs="Arial"/>
          <w:sz w:val="24"/>
          <w:szCs w:val="24"/>
        </w:rPr>
        <w:t xml:space="preserve">should still narrowly </w:t>
      </w:r>
      <w:r w:rsidR="00C5066B" w:rsidRPr="00D028E4">
        <w:rPr>
          <w:rFonts w:ascii="Arial" w:eastAsia="Calibri" w:hAnsi="Arial" w:cs="Arial"/>
          <w:sz w:val="24"/>
          <w:szCs w:val="24"/>
        </w:rPr>
        <w:t xml:space="preserve">focus on the </w:t>
      </w:r>
      <w:r w:rsidR="00B018EB" w:rsidRPr="00D028E4">
        <w:rPr>
          <w:rFonts w:ascii="Arial" w:eastAsia="Calibri" w:hAnsi="Arial" w:cs="Arial"/>
          <w:sz w:val="24"/>
          <w:szCs w:val="24"/>
        </w:rPr>
        <w:t>applicant’s or resident’s</w:t>
      </w:r>
      <w:r w:rsidR="00C5066B" w:rsidRPr="00D028E4">
        <w:rPr>
          <w:rFonts w:ascii="Arial" w:eastAsia="Calibri" w:hAnsi="Arial" w:cs="Arial"/>
          <w:sz w:val="24"/>
          <w:szCs w:val="24"/>
        </w:rPr>
        <w:t xml:space="preserve"> tenancy-related behavior</w:t>
      </w:r>
      <w:r w:rsidR="00B018EB" w:rsidRPr="00D028E4">
        <w:rPr>
          <w:rFonts w:ascii="Arial" w:eastAsia="Calibri" w:hAnsi="Arial" w:cs="Arial"/>
          <w:sz w:val="24"/>
          <w:szCs w:val="24"/>
        </w:rPr>
        <w:t xml:space="preserve">. HUD should require PHAs and owners to provide information about how they determine whether alleged alcohol abuse is disqualifying. </w:t>
      </w:r>
      <w:r w:rsidR="00E01BE3" w:rsidRPr="00D028E4">
        <w:rPr>
          <w:rFonts w:ascii="Arial" w:eastAsia="Calibri" w:hAnsi="Arial" w:cs="Arial"/>
          <w:sz w:val="24"/>
          <w:szCs w:val="24"/>
        </w:rPr>
        <w:t xml:space="preserve"> </w:t>
      </w:r>
    </w:p>
    <w:p w14:paraId="0000003B" w14:textId="77777777" w:rsidR="00CD7909" w:rsidRPr="00D028E4" w:rsidRDefault="00CD7909">
      <w:pPr>
        <w:rPr>
          <w:rFonts w:ascii="Arial" w:eastAsia="Calibri" w:hAnsi="Arial" w:cs="Arial"/>
          <w:b/>
          <w:sz w:val="24"/>
          <w:szCs w:val="24"/>
        </w:rPr>
      </w:pPr>
    </w:p>
    <w:p w14:paraId="0000003C"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b/>
          <w:sz w:val="24"/>
          <w:szCs w:val="24"/>
        </w:rPr>
      </w:pPr>
      <w:r w:rsidRPr="00D028E4">
        <w:rPr>
          <w:rFonts w:ascii="Arial" w:eastAsia="Calibri" w:hAnsi="Arial" w:cs="Arial"/>
          <w:b/>
          <w:sz w:val="24"/>
          <w:szCs w:val="24"/>
        </w:rPr>
        <w:t>Conclusion</w:t>
      </w:r>
    </w:p>
    <w:p w14:paraId="6900457D" w14:textId="77777777" w:rsidR="005B08FC" w:rsidRPr="00D028E4" w:rsidRDefault="005B08FC">
      <w:pPr>
        <w:pBdr>
          <w:top w:val="nil"/>
          <w:left w:val="nil"/>
          <w:bottom w:val="nil"/>
          <w:right w:val="nil"/>
          <w:between w:val="nil"/>
        </w:pBdr>
        <w:tabs>
          <w:tab w:val="left" w:pos="10080"/>
        </w:tabs>
        <w:spacing w:before="3"/>
        <w:rPr>
          <w:rFonts w:ascii="Arial" w:eastAsia="Calibri" w:hAnsi="Arial" w:cs="Arial"/>
          <w:sz w:val="24"/>
          <w:szCs w:val="24"/>
        </w:rPr>
      </w:pPr>
    </w:p>
    <w:p w14:paraId="05537144" w14:textId="6D9977C1" w:rsidR="00864BC8" w:rsidRPr="00D028E4" w:rsidRDefault="00B018E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We </w:t>
      </w:r>
      <w:r w:rsidR="00B84D3D" w:rsidRPr="00D028E4">
        <w:rPr>
          <w:rFonts w:ascii="Arial" w:eastAsia="Calibri" w:hAnsi="Arial" w:cs="Arial"/>
          <w:sz w:val="24"/>
          <w:szCs w:val="24"/>
        </w:rPr>
        <w:t>strongly support this proposed rule</w:t>
      </w:r>
      <w:r w:rsidR="004A2DE5" w:rsidRPr="00D028E4">
        <w:rPr>
          <w:rFonts w:ascii="Arial" w:eastAsia="Calibri" w:hAnsi="Arial" w:cs="Arial"/>
          <w:sz w:val="24"/>
          <w:szCs w:val="24"/>
        </w:rPr>
        <w:t xml:space="preserve"> to reduce barriers for people with arrest and conviction histories. In order for the rule to achieve its goals, we </w:t>
      </w:r>
      <w:r w:rsidR="00B84D3D" w:rsidRPr="00D028E4">
        <w:rPr>
          <w:rFonts w:ascii="Arial" w:eastAsia="Calibri" w:hAnsi="Arial" w:cs="Arial"/>
          <w:sz w:val="24"/>
          <w:szCs w:val="24"/>
        </w:rPr>
        <w:t xml:space="preserve">believe </w:t>
      </w:r>
      <w:r w:rsidR="00390B5F" w:rsidRPr="00D028E4">
        <w:rPr>
          <w:rFonts w:ascii="Arial" w:eastAsia="Calibri" w:hAnsi="Arial" w:cs="Arial"/>
          <w:sz w:val="24"/>
          <w:szCs w:val="24"/>
        </w:rPr>
        <w:t xml:space="preserve">housing providers will need </w:t>
      </w:r>
      <w:r w:rsidR="00553534" w:rsidRPr="00D028E4">
        <w:rPr>
          <w:rFonts w:ascii="Arial" w:eastAsia="Calibri" w:hAnsi="Arial" w:cs="Arial"/>
          <w:sz w:val="24"/>
          <w:szCs w:val="24"/>
        </w:rPr>
        <w:t xml:space="preserve">significant </w:t>
      </w:r>
      <w:r w:rsidR="00B84D3D" w:rsidRPr="00D028E4">
        <w:rPr>
          <w:rFonts w:ascii="Arial" w:eastAsia="Calibri" w:hAnsi="Arial" w:cs="Arial"/>
          <w:sz w:val="24"/>
          <w:szCs w:val="24"/>
        </w:rPr>
        <w:t>t</w:t>
      </w:r>
      <w:r w:rsidR="00390B5F" w:rsidRPr="00D028E4">
        <w:rPr>
          <w:rFonts w:ascii="Arial" w:eastAsia="Calibri" w:hAnsi="Arial" w:cs="Arial"/>
          <w:sz w:val="24"/>
          <w:szCs w:val="24"/>
        </w:rPr>
        <w:t>raining</w:t>
      </w:r>
      <w:r w:rsidR="004A2DE5" w:rsidRPr="00D028E4">
        <w:rPr>
          <w:rFonts w:ascii="Arial" w:eastAsia="Calibri" w:hAnsi="Arial" w:cs="Arial"/>
          <w:sz w:val="24"/>
          <w:szCs w:val="24"/>
        </w:rPr>
        <w:t xml:space="preserve"> </w:t>
      </w:r>
      <w:r w:rsidR="00390B5F" w:rsidRPr="00D028E4">
        <w:rPr>
          <w:rFonts w:ascii="Arial" w:eastAsia="Calibri" w:hAnsi="Arial" w:cs="Arial"/>
          <w:sz w:val="24"/>
          <w:szCs w:val="24"/>
        </w:rPr>
        <w:t xml:space="preserve">and technical assistance </w:t>
      </w:r>
      <w:r w:rsidR="003D0BEF" w:rsidRPr="00D028E4">
        <w:rPr>
          <w:rFonts w:ascii="Arial" w:eastAsia="Calibri" w:hAnsi="Arial" w:cs="Arial"/>
          <w:sz w:val="24"/>
          <w:szCs w:val="24"/>
        </w:rPr>
        <w:t>during implementation</w:t>
      </w:r>
      <w:r w:rsidR="00390B5F" w:rsidRPr="00D028E4">
        <w:rPr>
          <w:rFonts w:ascii="Arial" w:eastAsia="Calibri" w:hAnsi="Arial" w:cs="Arial"/>
          <w:sz w:val="24"/>
          <w:szCs w:val="24"/>
        </w:rPr>
        <w:t xml:space="preserve">. To that end, </w:t>
      </w:r>
      <w:r w:rsidR="00864BC8" w:rsidRPr="00D028E4">
        <w:rPr>
          <w:rFonts w:ascii="Arial" w:eastAsia="Calibri" w:hAnsi="Arial" w:cs="Arial"/>
          <w:sz w:val="24"/>
          <w:szCs w:val="24"/>
        </w:rPr>
        <w:t xml:space="preserve">we hope HUD will </w:t>
      </w:r>
      <w:r w:rsidR="00390B5F" w:rsidRPr="00D028E4">
        <w:rPr>
          <w:rFonts w:ascii="Arial" w:eastAsia="Calibri" w:hAnsi="Arial" w:cs="Arial"/>
          <w:sz w:val="24"/>
          <w:szCs w:val="24"/>
        </w:rPr>
        <w:t xml:space="preserve">encourage housing providers to partner with aging and disability organizations that can provide support </w:t>
      </w:r>
      <w:r w:rsidR="000626C0" w:rsidRPr="00D028E4">
        <w:rPr>
          <w:rFonts w:ascii="Arial" w:eastAsia="Calibri" w:hAnsi="Arial" w:cs="Arial"/>
          <w:sz w:val="24"/>
          <w:szCs w:val="24"/>
        </w:rPr>
        <w:t>on</w:t>
      </w:r>
      <w:r w:rsidR="0016454D" w:rsidRPr="00D028E4">
        <w:rPr>
          <w:rFonts w:ascii="Arial" w:eastAsia="Calibri" w:hAnsi="Arial" w:cs="Arial"/>
          <w:sz w:val="24"/>
          <w:szCs w:val="24"/>
        </w:rPr>
        <w:t xml:space="preserve"> </w:t>
      </w:r>
      <w:r w:rsidR="00864BC8" w:rsidRPr="00D028E4">
        <w:rPr>
          <w:rFonts w:ascii="Arial" w:eastAsia="Calibri" w:hAnsi="Arial" w:cs="Arial"/>
          <w:sz w:val="24"/>
          <w:szCs w:val="24"/>
        </w:rPr>
        <w:t xml:space="preserve">reasonable accommodations and other aspects of this rule </w:t>
      </w:r>
      <w:r w:rsidR="00464943" w:rsidRPr="00D028E4">
        <w:rPr>
          <w:rFonts w:ascii="Arial" w:eastAsia="Calibri" w:hAnsi="Arial" w:cs="Arial"/>
          <w:sz w:val="24"/>
          <w:szCs w:val="24"/>
        </w:rPr>
        <w:t xml:space="preserve">affecting </w:t>
      </w:r>
      <w:r w:rsidR="00864BC8" w:rsidRPr="00D028E4">
        <w:rPr>
          <w:rFonts w:ascii="Arial" w:eastAsia="Calibri" w:hAnsi="Arial" w:cs="Arial"/>
          <w:sz w:val="24"/>
          <w:szCs w:val="24"/>
        </w:rPr>
        <w:t xml:space="preserve">people with disabilities. </w:t>
      </w:r>
    </w:p>
    <w:p w14:paraId="71275821" w14:textId="77777777" w:rsidR="00864BC8" w:rsidRPr="00D028E4" w:rsidRDefault="00864BC8">
      <w:pPr>
        <w:pBdr>
          <w:top w:val="nil"/>
          <w:left w:val="nil"/>
          <w:bottom w:val="nil"/>
          <w:right w:val="nil"/>
          <w:between w:val="nil"/>
        </w:pBdr>
        <w:tabs>
          <w:tab w:val="left" w:pos="10080"/>
        </w:tabs>
        <w:spacing w:before="3"/>
        <w:rPr>
          <w:rFonts w:ascii="Arial" w:eastAsia="Calibri" w:hAnsi="Arial" w:cs="Arial"/>
          <w:sz w:val="24"/>
          <w:szCs w:val="24"/>
        </w:rPr>
      </w:pPr>
    </w:p>
    <w:p w14:paraId="0000003D" w14:textId="72E4847C"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Thank you for your consideration of our comments.</w:t>
      </w:r>
      <w:r w:rsidR="005B08FC" w:rsidRPr="00D028E4">
        <w:rPr>
          <w:rFonts w:ascii="Arial" w:eastAsia="Calibri" w:hAnsi="Arial" w:cs="Arial"/>
          <w:sz w:val="24"/>
          <w:szCs w:val="24"/>
        </w:rPr>
        <w:t xml:space="preserve"> </w:t>
      </w:r>
      <w:r w:rsidR="00864BC8" w:rsidRPr="00D028E4">
        <w:rPr>
          <w:rFonts w:ascii="Arial" w:eastAsia="Calibri" w:hAnsi="Arial" w:cs="Arial"/>
          <w:sz w:val="24"/>
          <w:szCs w:val="24"/>
        </w:rPr>
        <w:t xml:space="preserve">Please contact </w:t>
      </w:r>
      <w:r w:rsidR="005B08FC" w:rsidRPr="00D028E4">
        <w:rPr>
          <w:rFonts w:ascii="Arial" w:eastAsia="Calibri" w:hAnsi="Arial" w:cs="Arial"/>
          <w:sz w:val="24"/>
          <w:szCs w:val="24"/>
        </w:rPr>
        <w:t>the CCD HTF co-chairs</w:t>
      </w:r>
      <w:r w:rsidR="00864BC8" w:rsidRPr="00D028E4">
        <w:rPr>
          <w:rFonts w:ascii="Arial" w:eastAsia="Calibri" w:hAnsi="Arial" w:cs="Arial"/>
          <w:sz w:val="24"/>
          <w:szCs w:val="24"/>
        </w:rPr>
        <w:t xml:space="preserve"> if you have any questions. </w:t>
      </w:r>
    </w:p>
    <w:p w14:paraId="0000003E"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3F"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 xml:space="preserve">Sincerely, </w:t>
      </w:r>
    </w:p>
    <w:p w14:paraId="00000040"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41"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Allie Cannington, The Kelsey</w:t>
      </w:r>
    </w:p>
    <w:p w14:paraId="00000042" w14:textId="60A8C9F8"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Co-Chair, CCD Housing Task Force</w:t>
      </w:r>
    </w:p>
    <w:p w14:paraId="00000043" w14:textId="278B7144" w:rsidR="00CD7909" w:rsidRPr="00D028E4" w:rsidRDefault="006A56AF">
      <w:pPr>
        <w:pBdr>
          <w:top w:val="nil"/>
          <w:left w:val="nil"/>
          <w:bottom w:val="nil"/>
          <w:right w:val="nil"/>
          <w:between w:val="nil"/>
        </w:pBdr>
        <w:tabs>
          <w:tab w:val="left" w:pos="10080"/>
        </w:tabs>
        <w:spacing w:before="3"/>
        <w:rPr>
          <w:rFonts w:ascii="Arial" w:eastAsia="Calibri" w:hAnsi="Arial" w:cs="Arial"/>
          <w:sz w:val="24"/>
          <w:szCs w:val="24"/>
          <w:lang w:val="en"/>
        </w:rPr>
      </w:pPr>
      <w:hyperlink r:id="rId9" w:history="1">
        <w:r w:rsidR="005B08FC" w:rsidRPr="00D028E4">
          <w:rPr>
            <w:rStyle w:val="Hyperlink"/>
            <w:rFonts w:ascii="Arial" w:eastAsia="Calibri" w:hAnsi="Arial" w:cs="Arial"/>
            <w:sz w:val="24"/>
            <w:szCs w:val="24"/>
            <w:lang w:val="en"/>
          </w:rPr>
          <w:t>allie@thekelsey.org</w:t>
        </w:r>
      </w:hyperlink>
    </w:p>
    <w:p w14:paraId="03E5D983" w14:textId="77777777" w:rsidR="005B08FC" w:rsidRPr="00D028E4" w:rsidRDefault="005B08FC">
      <w:pPr>
        <w:pBdr>
          <w:top w:val="nil"/>
          <w:left w:val="nil"/>
          <w:bottom w:val="nil"/>
          <w:right w:val="nil"/>
          <w:between w:val="nil"/>
        </w:pBdr>
        <w:tabs>
          <w:tab w:val="left" w:pos="10080"/>
        </w:tabs>
        <w:spacing w:before="3"/>
        <w:rPr>
          <w:rFonts w:ascii="Arial" w:eastAsia="Calibri" w:hAnsi="Arial" w:cs="Arial"/>
          <w:sz w:val="24"/>
          <w:szCs w:val="24"/>
        </w:rPr>
      </w:pPr>
    </w:p>
    <w:p w14:paraId="00000044"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Jennifer Kye, Justice in Aging</w:t>
      </w:r>
    </w:p>
    <w:p w14:paraId="00000045" w14:textId="11F6FABF"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Co-Chair, CCD Housing Task Force</w:t>
      </w:r>
    </w:p>
    <w:p w14:paraId="4AFE1F64" w14:textId="5CE10418" w:rsidR="005B08FC" w:rsidRPr="00D028E4" w:rsidRDefault="006A56AF">
      <w:pPr>
        <w:pBdr>
          <w:top w:val="nil"/>
          <w:left w:val="nil"/>
          <w:bottom w:val="nil"/>
          <w:right w:val="nil"/>
          <w:between w:val="nil"/>
        </w:pBdr>
        <w:tabs>
          <w:tab w:val="left" w:pos="10080"/>
        </w:tabs>
        <w:spacing w:before="3"/>
        <w:rPr>
          <w:rFonts w:ascii="Arial" w:eastAsia="Calibri" w:hAnsi="Arial" w:cs="Arial"/>
          <w:sz w:val="24"/>
          <w:szCs w:val="24"/>
        </w:rPr>
      </w:pPr>
      <w:hyperlink r:id="rId10" w:history="1">
        <w:r w:rsidR="005B08FC" w:rsidRPr="00D028E4">
          <w:rPr>
            <w:rStyle w:val="Hyperlink"/>
            <w:rFonts w:ascii="Arial" w:eastAsia="Calibri" w:hAnsi="Arial" w:cs="Arial"/>
            <w:sz w:val="24"/>
            <w:szCs w:val="24"/>
          </w:rPr>
          <w:t>jkye@justiceinaging.org</w:t>
        </w:r>
      </w:hyperlink>
    </w:p>
    <w:p w14:paraId="00000046" w14:textId="77777777" w:rsidR="00CD7909" w:rsidRPr="00D028E4" w:rsidRDefault="00CD7909">
      <w:pPr>
        <w:pBdr>
          <w:top w:val="nil"/>
          <w:left w:val="nil"/>
          <w:bottom w:val="nil"/>
          <w:right w:val="nil"/>
          <w:between w:val="nil"/>
        </w:pBdr>
        <w:tabs>
          <w:tab w:val="left" w:pos="10080"/>
        </w:tabs>
        <w:spacing w:before="3"/>
        <w:rPr>
          <w:rFonts w:ascii="Arial" w:eastAsia="Calibri" w:hAnsi="Arial" w:cs="Arial"/>
          <w:sz w:val="24"/>
          <w:szCs w:val="24"/>
        </w:rPr>
      </w:pPr>
    </w:p>
    <w:p w14:paraId="00000047" w14:textId="77777777"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Greg Robinson, Autistic Self Advocacy Network</w:t>
      </w:r>
    </w:p>
    <w:p w14:paraId="00000048" w14:textId="3F66EF53" w:rsidR="00CD7909" w:rsidRPr="00D028E4" w:rsidRDefault="00C5066B">
      <w:pPr>
        <w:pBdr>
          <w:top w:val="nil"/>
          <w:left w:val="nil"/>
          <w:bottom w:val="nil"/>
          <w:right w:val="nil"/>
          <w:between w:val="nil"/>
        </w:pBdr>
        <w:tabs>
          <w:tab w:val="left" w:pos="10080"/>
        </w:tabs>
        <w:spacing w:before="3"/>
        <w:rPr>
          <w:rFonts w:ascii="Arial" w:eastAsia="Calibri" w:hAnsi="Arial" w:cs="Arial"/>
          <w:sz w:val="24"/>
          <w:szCs w:val="24"/>
        </w:rPr>
      </w:pPr>
      <w:r w:rsidRPr="00D028E4">
        <w:rPr>
          <w:rFonts w:ascii="Arial" w:eastAsia="Calibri" w:hAnsi="Arial" w:cs="Arial"/>
          <w:sz w:val="24"/>
          <w:szCs w:val="24"/>
        </w:rPr>
        <w:t>Co-Chair, CCD Housing Task Force</w:t>
      </w:r>
    </w:p>
    <w:p w14:paraId="6AF81E7D" w14:textId="51213EC0" w:rsidR="005B08FC" w:rsidRPr="00D028E4" w:rsidRDefault="006A56AF">
      <w:pPr>
        <w:pBdr>
          <w:top w:val="nil"/>
          <w:left w:val="nil"/>
          <w:bottom w:val="nil"/>
          <w:right w:val="nil"/>
          <w:between w:val="nil"/>
        </w:pBdr>
        <w:tabs>
          <w:tab w:val="left" w:pos="10080"/>
        </w:tabs>
        <w:spacing w:before="3"/>
        <w:rPr>
          <w:rFonts w:ascii="Arial" w:eastAsia="Calibri" w:hAnsi="Arial" w:cs="Arial"/>
          <w:sz w:val="24"/>
          <w:szCs w:val="24"/>
        </w:rPr>
      </w:pPr>
      <w:hyperlink r:id="rId11" w:history="1">
        <w:r w:rsidR="005B08FC" w:rsidRPr="00D028E4">
          <w:rPr>
            <w:rStyle w:val="Hyperlink"/>
            <w:rFonts w:ascii="Arial" w:eastAsia="Calibri" w:hAnsi="Arial" w:cs="Arial"/>
            <w:sz w:val="24"/>
            <w:szCs w:val="24"/>
          </w:rPr>
          <w:t>grobinson@autisticadvocacy.org</w:t>
        </w:r>
      </w:hyperlink>
    </w:p>
    <w:p w14:paraId="09EA477A" w14:textId="68AA95C0" w:rsidR="005B08FC" w:rsidRDefault="005B08FC">
      <w:pPr>
        <w:pBdr>
          <w:top w:val="nil"/>
          <w:left w:val="nil"/>
          <w:bottom w:val="nil"/>
          <w:right w:val="nil"/>
          <w:between w:val="nil"/>
        </w:pBdr>
        <w:tabs>
          <w:tab w:val="left" w:pos="10080"/>
        </w:tabs>
        <w:spacing w:before="3"/>
        <w:rPr>
          <w:rFonts w:ascii="Arial" w:eastAsia="Calibri" w:hAnsi="Arial" w:cs="Arial"/>
          <w:sz w:val="24"/>
          <w:szCs w:val="24"/>
        </w:rPr>
      </w:pPr>
    </w:p>
    <w:p w14:paraId="2D91CBD6"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Access Ready</w:t>
      </w:r>
    </w:p>
    <w:p w14:paraId="4D458AE3"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American Network of Community Option and Resources (ANCOR)</w:t>
      </w:r>
    </w:p>
    <w:p w14:paraId="7FEDFE81" w14:textId="11EBB199" w:rsid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Amputee Coalition</w:t>
      </w:r>
    </w:p>
    <w:p w14:paraId="1A08F973" w14:textId="1831A27E" w:rsidR="00593ADA" w:rsidRPr="007E591A" w:rsidRDefault="00593ADA" w:rsidP="008E5879">
      <w:pPr>
        <w:pBdr>
          <w:top w:val="nil"/>
          <w:left w:val="nil"/>
          <w:bottom w:val="nil"/>
          <w:right w:val="nil"/>
          <w:between w:val="nil"/>
        </w:pBdr>
        <w:tabs>
          <w:tab w:val="left" w:pos="10080"/>
        </w:tabs>
        <w:spacing w:before="3"/>
        <w:rPr>
          <w:rFonts w:ascii="Arial" w:eastAsia="Calibri" w:hAnsi="Arial" w:cs="Arial"/>
          <w:sz w:val="24"/>
          <w:szCs w:val="24"/>
        </w:rPr>
      </w:pPr>
      <w:r>
        <w:rPr>
          <w:rFonts w:ascii="Arial" w:eastAsia="Calibri" w:hAnsi="Arial" w:cs="Arial"/>
          <w:sz w:val="24"/>
          <w:szCs w:val="24"/>
        </w:rPr>
        <w:t>Autism Society of America</w:t>
      </w:r>
      <w:bookmarkStart w:id="1" w:name="_GoBack"/>
      <w:bookmarkEnd w:id="1"/>
    </w:p>
    <w:p w14:paraId="678472E3"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Center for Law and Social Policy</w:t>
      </w:r>
    </w:p>
    <w:p w14:paraId="5F3867FF"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Corporation for Supportive Housing</w:t>
      </w:r>
    </w:p>
    <w:p w14:paraId="11FA934E"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lastRenderedPageBreak/>
        <w:t>Disability Rights Education and Defense Fund</w:t>
      </w:r>
    </w:p>
    <w:p w14:paraId="5E261AE4" w14:textId="701C6E81"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National Alliance on Mental Illness</w:t>
      </w:r>
      <w:r>
        <w:rPr>
          <w:rFonts w:ascii="Arial" w:eastAsia="Calibri" w:hAnsi="Arial" w:cs="Arial"/>
          <w:sz w:val="24"/>
          <w:szCs w:val="24"/>
        </w:rPr>
        <w:t xml:space="preserve"> (NAMI)</w:t>
      </w:r>
    </w:p>
    <w:p w14:paraId="76E29576"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National Disability Rights Network (NDRN)</w:t>
      </w:r>
    </w:p>
    <w:p w14:paraId="6D8CBAA3"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National PLAN Alliance (NPA)</w:t>
      </w:r>
    </w:p>
    <w:p w14:paraId="4AE0F946"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NEW START</w:t>
      </w:r>
    </w:p>
    <w:p w14:paraId="33C7C839"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proofErr w:type="spellStart"/>
      <w:r w:rsidRPr="007E591A">
        <w:rPr>
          <w:rFonts w:ascii="Arial" w:eastAsia="Calibri" w:hAnsi="Arial" w:cs="Arial"/>
          <w:sz w:val="24"/>
          <w:szCs w:val="24"/>
        </w:rPr>
        <w:t>RespectAbility</w:t>
      </w:r>
      <w:proofErr w:type="spellEnd"/>
    </w:p>
    <w:p w14:paraId="12590BBA" w14:textId="77777777" w:rsidR="007E591A" w:rsidRPr="007E591A"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SAGE</w:t>
      </w:r>
    </w:p>
    <w:p w14:paraId="733FD9E9" w14:textId="7D2389F3" w:rsidR="00CF0C31" w:rsidRPr="00D028E4" w:rsidRDefault="007E591A" w:rsidP="008E5879">
      <w:pPr>
        <w:pBdr>
          <w:top w:val="nil"/>
          <w:left w:val="nil"/>
          <w:bottom w:val="nil"/>
          <w:right w:val="nil"/>
          <w:between w:val="nil"/>
        </w:pBdr>
        <w:tabs>
          <w:tab w:val="left" w:pos="10080"/>
        </w:tabs>
        <w:spacing w:before="3"/>
        <w:rPr>
          <w:rFonts w:ascii="Arial" w:eastAsia="Calibri" w:hAnsi="Arial" w:cs="Arial"/>
          <w:sz w:val="24"/>
          <w:szCs w:val="24"/>
        </w:rPr>
      </w:pPr>
      <w:r w:rsidRPr="007E591A">
        <w:rPr>
          <w:rFonts w:ascii="Arial" w:eastAsia="Calibri" w:hAnsi="Arial" w:cs="Arial"/>
          <w:sz w:val="24"/>
          <w:szCs w:val="24"/>
        </w:rPr>
        <w:t>The Arc of the United States</w:t>
      </w:r>
    </w:p>
    <w:sectPr w:rsidR="00CF0C31" w:rsidRPr="00D028E4">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0" w:footer="10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67F9F" w14:textId="77777777" w:rsidR="006A56AF" w:rsidRDefault="006A56AF">
      <w:r>
        <w:separator/>
      </w:r>
    </w:p>
  </w:endnote>
  <w:endnote w:type="continuationSeparator" w:id="0">
    <w:p w14:paraId="6F174A29" w14:textId="77777777" w:rsidR="006A56AF" w:rsidRDefault="006A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6" w14:textId="77777777" w:rsidR="00CD7909" w:rsidRDefault="00CD79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7" w14:textId="7DC24684" w:rsidR="00CD7909" w:rsidRDefault="00C5066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53DFA">
      <w:rPr>
        <w:noProof/>
        <w:color w:val="000000"/>
      </w:rPr>
      <w:t>2</w:t>
    </w:r>
    <w:r>
      <w:rPr>
        <w:color w:val="000000"/>
      </w:rPr>
      <w:fldChar w:fldCharType="end"/>
    </w:r>
  </w:p>
  <w:p w14:paraId="00000058" w14:textId="77777777" w:rsidR="00CD7909" w:rsidRDefault="00CD7909">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9" w14:textId="77777777" w:rsidR="00CD7909" w:rsidRDefault="00CD79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1E94A" w14:textId="77777777" w:rsidR="006A56AF" w:rsidRDefault="006A56AF">
      <w:r>
        <w:separator/>
      </w:r>
    </w:p>
  </w:footnote>
  <w:footnote w:type="continuationSeparator" w:id="0">
    <w:p w14:paraId="340A220D" w14:textId="77777777" w:rsidR="006A56AF" w:rsidRDefault="006A56AF">
      <w:r>
        <w:continuationSeparator/>
      </w:r>
    </w:p>
  </w:footnote>
  <w:footnote w:id="1">
    <w:p w14:paraId="00000049" w14:textId="112D1428" w:rsidR="00CD7909" w:rsidRPr="006834C0" w:rsidRDefault="00C5066B">
      <w:pPr>
        <w:pBdr>
          <w:top w:val="nil"/>
          <w:left w:val="nil"/>
          <w:bottom w:val="nil"/>
          <w:right w:val="nil"/>
          <w:between w:val="nil"/>
        </w:pBdr>
        <w:rPr>
          <w:rFonts w:ascii="Arial" w:eastAsia="Calibri" w:hAnsi="Arial" w:cs="Arial"/>
          <w:color w:val="000000"/>
          <w:sz w:val="20"/>
          <w:szCs w:val="20"/>
        </w:rPr>
      </w:pPr>
      <w:r w:rsidRPr="006834C0">
        <w:rPr>
          <w:rStyle w:val="FootnoteReference"/>
          <w:rFonts w:ascii="Arial" w:hAnsi="Arial" w:cs="Arial"/>
          <w:sz w:val="20"/>
          <w:szCs w:val="20"/>
        </w:rPr>
        <w:footnoteRef/>
      </w:r>
      <w:r w:rsidRPr="006834C0">
        <w:rPr>
          <w:rFonts w:ascii="Arial" w:eastAsia="Calibri" w:hAnsi="Arial" w:cs="Arial"/>
          <w:color w:val="000000"/>
          <w:sz w:val="20"/>
          <w:szCs w:val="20"/>
        </w:rPr>
        <w:t xml:space="preserve"> U.S. Substance Abuse &amp; Mental Health Services Administration</w:t>
      </w:r>
      <w:r w:rsidR="00987305" w:rsidRPr="006834C0">
        <w:rPr>
          <w:rFonts w:ascii="Arial" w:eastAsia="Calibri" w:hAnsi="Arial" w:cs="Arial"/>
          <w:color w:val="000000"/>
          <w:sz w:val="20"/>
          <w:szCs w:val="20"/>
        </w:rPr>
        <w:t>,</w:t>
      </w:r>
      <w:r w:rsidRPr="006834C0">
        <w:rPr>
          <w:rFonts w:ascii="Arial" w:eastAsia="Calibri" w:hAnsi="Arial" w:cs="Arial"/>
          <w:color w:val="000000"/>
          <w:sz w:val="20"/>
          <w:szCs w:val="20"/>
        </w:rPr>
        <w:t xml:space="preserve"> About </w:t>
      </w:r>
      <w:r w:rsidR="00DE60A8" w:rsidRPr="006834C0">
        <w:rPr>
          <w:rFonts w:ascii="Arial" w:eastAsia="Calibri" w:hAnsi="Arial" w:cs="Arial"/>
          <w:color w:val="000000"/>
          <w:sz w:val="20"/>
          <w:szCs w:val="20"/>
        </w:rPr>
        <w:t xml:space="preserve">Criminal and Juvenile Justice (March 2022), available at </w:t>
      </w:r>
      <w:hyperlink r:id="rId1" w:history="1">
        <w:r w:rsidR="00DE60A8" w:rsidRPr="006834C0">
          <w:rPr>
            <w:rStyle w:val="Hyperlink"/>
            <w:rFonts w:ascii="Arial" w:eastAsia="Calibri" w:hAnsi="Arial" w:cs="Arial"/>
            <w:sz w:val="20"/>
            <w:szCs w:val="20"/>
          </w:rPr>
          <w:t>https://www.samhsa.gov/criminal-juvenile-justice/about</w:t>
        </w:r>
      </w:hyperlink>
      <w:r w:rsidR="00DE60A8" w:rsidRPr="006834C0">
        <w:rPr>
          <w:rFonts w:ascii="Arial" w:eastAsia="Calibri" w:hAnsi="Arial" w:cs="Arial"/>
          <w:color w:val="000000"/>
          <w:sz w:val="20"/>
          <w:szCs w:val="20"/>
        </w:rPr>
        <w:t>.</w:t>
      </w:r>
    </w:p>
  </w:footnote>
  <w:footnote w:id="2">
    <w:p w14:paraId="0000004A" w14:textId="64A7B005" w:rsidR="00CD7909" w:rsidRPr="006834C0" w:rsidRDefault="00C5066B">
      <w:pPr>
        <w:pBdr>
          <w:top w:val="nil"/>
          <w:left w:val="nil"/>
          <w:bottom w:val="nil"/>
          <w:right w:val="nil"/>
          <w:between w:val="nil"/>
        </w:pBdr>
        <w:rPr>
          <w:rFonts w:ascii="Arial" w:eastAsia="Calibri" w:hAnsi="Arial" w:cs="Arial"/>
          <w:color w:val="000000"/>
          <w:sz w:val="20"/>
          <w:szCs w:val="20"/>
        </w:rPr>
      </w:pPr>
      <w:r w:rsidRPr="006834C0">
        <w:rPr>
          <w:rStyle w:val="FootnoteReference"/>
          <w:rFonts w:ascii="Arial" w:hAnsi="Arial" w:cs="Arial"/>
          <w:sz w:val="20"/>
          <w:szCs w:val="20"/>
        </w:rPr>
        <w:footnoteRef/>
      </w:r>
      <w:r w:rsidRPr="006834C0">
        <w:rPr>
          <w:rFonts w:ascii="Arial" w:eastAsia="Calibri" w:hAnsi="Arial" w:cs="Arial"/>
          <w:color w:val="000000"/>
          <w:sz w:val="20"/>
          <w:szCs w:val="20"/>
        </w:rPr>
        <w:t xml:space="preserve"> </w:t>
      </w:r>
      <w:r w:rsidR="00DE60A8" w:rsidRPr="006834C0">
        <w:rPr>
          <w:rFonts w:ascii="Arial" w:eastAsia="Calibri" w:hAnsi="Arial" w:cs="Arial"/>
          <w:color w:val="000000"/>
          <w:sz w:val="20"/>
          <w:szCs w:val="20"/>
        </w:rPr>
        <w:t>Health Affairs, “</w:t>
      </w:r>
      <w:r w:rsidRPr="006834C0">
        <w:rPr>
          <w:rFonts w:ascii="Arial" w:eastAsia="Calibri" w:hAnsi="Arial" w:cs="Arial"/>
          <w:color w:val="000000"/>
          <w:sz w:val="20"/>
          <w:szCs w:val="20"/>
        </w:rPr>
        <w:t xml:space="preserve">The </w:t>
      </w:r>
      <w:r w:rsidR="00DE60A8" w:rsidRPr="006834C0">
        <w:rPr>
          <w:rFonts w:ascii="Arial" w:eastAsia="Calibri" w:hAnsi="Arial" w:cs="Arial"/>
          <w:color w:val="000000"/>
          <w:sz w:val="20"/>
          <w:szCs w:val="20"/>
        </w:rPr>
        <w:t>L</w:t>
      </w:r>
      <w:r w:rsidRPr="006834C0">
        <w:rPr>
          <w:rFonts w:ascii="Arial" w:eastAsia="Calibri" w:hAnsi="Arial" w:cs="Arial"/>
          <w:color w:val="000000"/>
          <w:sz w:val="20"/>
          <w:szCs w:val="20"/>
        </w:rPr>
        <w:t xml:space="preserve">inks </w:t>
      </w:r>
      <w:r w:rsidR="00DE60A8" w:rsidRPr="006834C0">
        <w:rPr>
          <w:rFonts w:ascii="Arial" w:eastAsia="Calibri" w:hAnsi="Arial" w:cs="Arial"/>
          <w:color w:val="000000"/>
          <w:sz w:val="20"/>
          <w:szCs w:val="20"/>
        </w:rPr>
        <w:t>B</w:t>
      </w:r>
      <w:r w:rsidRPr="006834C0">
        <w:rPr>
          <w:rFonts w:ascii="Arial" w:eastAsia="Calibri" w:hAnsi="Arial" w:cs="Arial"/>
          <w:color w:val="000000"/>
          <w:sz w:val="20"/>
          <w:szCs w:val="20"/>
        </w:rPr>
        <w:t xml:space="preserve">etween </w:t>
      </w:r>
      <w:r w:rsidR="00DE60A8" w:rsidRPr="006834C0">
        <w:rPr>
          <w:rFonts w:ascii="Arial" w:eastAsia="Calibri" w:hAnsi="Arial" w:cs="Arial"/>
          <w:color w:val="000000"/>
          <w:sz w:val="20"/>
          <w:szCs w:val="20"/>
        </w:rPr>
        <w:t>D</w:t>
      </w:r>
      <w:r w:rsidRPr="006834C0">
        <w:rPr>
          <w:rFonts w:ascii="Arial" w:eastAsia="Calibri" w:hAnsi="Arial" w:cs="Arial"/>
          <w:color w:val="000000"/>
          <w:sz w:val="20"/>
          <w:szCs w:val="20"/>
        </w:rPr>
        <w:t xml:space="preserve">isability, </w:t>
      </w:r>
      <w:r w:rsidR="00DE60A8" w:rsidRPr="006834C0">
        <w:rPr>
          <w:rFonts w:ascii="Arial" w:eastAsia="Calibri" w:hAnsi="Arial" w:cs="Arial"/>
          <w:color w:val="000000"/>
          <w:sz w:val="20"/>
          <w:szCs w:val="20"/>
        </w:rPr>
        <w:t>I</w:t>
      </w:r>
      <w:r w:rsidRPr="006834C0">
        <w:rPr>
          <w:rFonts w:ascii="Arial" w:eastAsia="Calibri" w:hAnsi="Arial" w:cs="Arial"/>
          <w:color w:val="000000"/>
          <w:sz w:val="20"/>
          <w:szCs w:val="20"/>
        </w:rPr>
        <w:t xml:space="preserve">ncarceration, and </w:t>
      </w:r>
      <w:r w:rsidR="00DE60A8" w:rsidRPr="006834C0">
        <w:rPr>
          <w:rFonts w:ascii="Arial" w:eastAsia="Calibri" w:hAnsi="Arial" w:cs="Arial"/>
          <w:color w:val="000000"/>
          <w:sz w:val="20"/>
          <w:szCs w:val="20"/>
        </w:rPr>
        <w:t>S</w:t>
      </w:r>
      <w:r w:rsidRPr="006834C0">
        <w:rPr>
          <w:rFonts w:ascii="Arial" w:eastAsia="Calibri" w:hAnsi="Arial" w:cs="Arial"/>
          <w:color w:val="000000"/>
          <w:sz w:val="20"/>
          <w:szCs w:val="20"/>
        </w:rPr>
        <w:t xml:space="preserve">ocial </w:t>
      </w:r>
      <w:r w:rsidR="00DE60A8" w:rsidRPr="006834C0">
        <w:rPr>
          <w:rFonts w:ascii="Arial" w:eastAsia="Calibri" w:hAnsi="Arial" w:cs="Arial"/>
          <w:color w:val="000000"/>
          <w:sz w:val="20"/>
          <w:szCs w:val="20"/>
        </w:rPr>
        <w:t>E</w:t>
      </w:r>
      <w:r w:rsidRPr="006834C0">
        <w:rPr>
          <w:rFonts w:ascii="Arial" w:eastAsia="Calibri" w:hAnsi="Arial" w:cs="Arial"/>
          <w:color w:val="000000"/>
          <w:sz w:val="20"/>
          <w:szCs w:val="20"/>
        </w:rPr>
        <w:t>xclusion</w:t>
      </w:r>
      <w:r w:rsidR="00DE60A8" w:rsidRPr="006834C0">
        <w:rPr>
          <w:rFonts w:ascii="Arial" w:eastAsia="Calibri" w:hAnsi="Arial" w:cs="Arial"/>
          <w:color w:val="000000"/>
          <w:sz w:val="20"/>
          <w:szCs w:val="20"/>
        </w:rPr>
        <w:t xml:space="preserve">” (October 2022), available at </w:t>
      </w:r>
      <w:hyperlink r:id="rId2" w:history="1">
        <w:r w:rsidR="00DE60A8" w:rsidRPr="006834C0">
          <w:rPr>
            <w:rStyle w:val="Hyperlink"/>
            <w:rFonts w:ascii="Arial" w:eastAsia="Calibri" w:hAnsi="Arial" w:cs="Arial"/>
            <w:sz w:val="20"/>
            <w:szCs w:val="20"/>
          </w:rPr>
          <w:t>https://www.healthaffairs.org/doi/10.1377/hlthaff.2022.00495?url_ver=Z39.88-2003&amp;rfr_id=ori%3Arid%3Acrossref.org&amp;rfr_dat=cr_pub++0pubmed</w:t>
        </w:r>
      </w:hyperlink>
      <w:r w:rsidRPr="006834C0">
        <w:rPr>
          <w:rFonts w:ascii="Arial" w:eastAsia="Calibri" w:hAnsi="Arial" w:cs="Arial"/>
          <w:color w:val="000000"/>
          <w:sz w:val="20"/>
          <w:szCs w:val="20"/>
        </w:rPr>
        <w:t>.</w:t>
      </w:r>
    </w:p>
  </w:footnote>
  <w:footnote w:id="3">
    <w:p w14:paraId="0000005C" w14:textId="387FA5EE" w:rsidR="00CD7909" w:rsidRPr="006834C0" w:rsidRDefault="00C5066B">
      <w:pPr>
        <w:rPr>
          <w:rFonts w:ascii="Arial" w:hAnsi="Arial" w:cs="Arial"/>
          <w:sz w:val="20"/>
          <w:szCs w:val="20"/>
        </w:rPr>
      </w:pPr>
      <w:r w:rsidRPr="006834C0">
        <w:rPr>
          <w:rStyle w:val="FootnoteReference"/>
          <w:rFonts w:ascii="Arial" w:hAnsi="Arial" w:cs="Arial"/>
          <w:sz w:val="20"/>
          <w:szCs w:val="20"/>
        </w:rPr>
        <w:footnoteRef/>
      </w:r>
      <w:r w:rsidR="00DE60A8" w:rsidRPr="006834C0">
        <w:rPr>
          <w:rFonts w:ascii="Arial" w:eastAsia="Calibri" w:hAnsi="Arial" w:cs="Arial"/>
          <w:sz w:val="20"/>
          <w:szCs w:val="20"/>
        </w:rPr>
        <w:t xml:space="preserve"> Prison Policy Initiative</w:t>
      </w:r>
      <w:r w:rsidRPr="006834C0">
        <w:rPr>
          <w:rFonts w:ascii="Arial" w:eastAsia="Calibri" w:hAnsi="Arial" w:cs="Arial"/>
          <w:sz w:val="20"/>
          <w:szCs w:val="20"/>
        </w:rPr>
        <w:t xml:space="preserve">, “The Aging Prison Population: Causes, Costs, and Consequences” (August 2023), available at </w:t>
      </w:r>
      <w:hyperlink r:id="rId3" w:history="1">
        <w:r w:rsidRPr="006834C0">
          <w:rPr>
            <w:rStyle w:val="Hyperlink"/>
            <w:rFonts w:ascii="Arial" w:eastAsia="Calibri" w:hAnsi="Arial" w:cs="Arial"/>
            <w:sz w:val="20"/>
            <w:szCs w:val="20"/>
          </w:rPr>
          <w:t>https://www.prisonpolicy.org/blog/2023/08/02/aging/</w:t>
        </w:r>
      </w:hyperlink>
      <w:r w:rsidRPr="006834C0">
        <w:rPr>
          <w:rFonts w:ascii="Arial" w:eastAsia="Calibri" w:hAnsi="Arial" w:cs="Arial"/>
          <w:sz w:val="20"/>
          <w:szCs w:val="20"/>
        </w:rPr>
        <w:t>.</w:t>
      </w:r>
    </w:p>
  </w:footnote>
  <w:footnote w:id="4">
    <w:p w14:paraId="0000005B" w14:textId="7CA0DCE8" w:rsidR="00CD7909" w:rsidRPr="00D028E4" w:rsidRDefault="00C5066B">
      <w:pPr>
        <w:rPr>
          <w:rFonts w:ascii="Arial" w:hAnsi="Arial" w:cs="Arial"/>
          <w:sz w:val="20"/>
          <w:szCs w:val="20"/>
        </w:rPr>
      </w:pPr>
      <w:r w:rsidRPr="006834C0">
        <w:rPr>
          <w:rStyle w:val="FootnoteReference"/>
          <w:rFonts w:ascii="Arial" w:hAnsi="Arial" w:cs="Arial"/>
          <w:sz w:val="20"/>
          <w:szCs w:val="20"/>
        </w:rPr>
        <w:footnoteRef/>
      </w:r>
      <w:r w:rsidRPr="006834C0">
        <w:rPr>
          <w:rFonts w:ascii="Arial" w:hAnsi="Arial" w:cs="Arial"/>
          <w:sz w:val="20"/>
          <w:szCs w:val="20"/>
        </w:rPr>
        <w:t xml:space="preserve"> </w:t>
      </w:r>
      <w:r w:rsidR="00215A21" w:rsidRPr="00215A21">
        <w:rPr>
          <w:rFonts w:ascii="Arial" w:eastAsia="Arial" w:hAnsi="Arial" w:cs="Arial"/>
          <w:sz w:val="20"/>
          <w:szCs w:val="20"/>
        </w:rPr>
        <w:t xml:space="preserve">Bureau of Justice Statistics, “Survey of Prison Inmates, 2016: Disabilities Reported by Prisoners” (March 2021), available at </w:t>
      </w:r>
      <w:hyperlink r:id="rId4" w:history="1">
        <w:r w:rsidR="00215A21" w:rsidRPr="00215A21">
          <w:rPr>
            <w:rStyle w:val="Hyperlink"/>
            <w:rFonts w:ascii="Arial" w:eastAsia="Arial" w:hAnsi="Arial" w:cs="Arial"/>
            <w:sz w:val="20"/>
            <w:szCs w:val="20"/>
          </w:rPr>
          <w:t>https://bjs.ojp.gov/content/pub/pdf/drpspi16st.pdf</w:t>
        </w:r>
      </w:hyperlink>
      <w:r w:rsidR="00215A21">
        <w:rPr>
          <w:rFonts w:ascii="Arial" w:eastAsia="Arial" w:hAnsi="Arial" w:cs="Arial"/>
          <w:sz w:val="20"/>
          <w:szCs w:val="20"/>
        </w:rPr>
        <w:t>.</w:t>
      </w:r>
    </w:p>
  </w:footnote>
  <w:footnote w:id="5">
    <w:p w14:paraId="0000005A" w14:textId="2347ACA2" w:rsidR="00CD7909" w:rsidRPr="00D02B82" w:rsidRDefault="00C5066B">
      <w:pPr>
        <w:rPr>
          <w:rFonts w:ascii="Arial" w:hAnsi="Arial" w:cs="Arial"/>
          <w:sz w:val="20"/>
          <w:szCs w:val="20"/>
        </w:rPr>
      </w:pPr>
      <w:r w:rsidRPr="00D02B82">
        <w:rPr>
          <w:rStyle w:val="FootnoteReference"/>
          <w:rFonts w:ascii="Arial" w:hAnsi="Arial" w:cs="Arial"/>
          <w:sz w:val="20"/>
          <w:szCs w:val="20"/>
        </w:rPr>
        <w:footnoteRef/>
      </w:r>
      <w:r w:rsidRPr="00D02B82">
        <w:rPr>
          <w:rFonts w:ascii="Arial" w:eastAsia="Calibri" w:hAnsi="Arial" w:cs="Arial"/>
          <w:sz w:val="20"/>
          <w:szCs w:val="20"/>
        </w:rPr>
        <w:t xml:space="preserve"> </w:t>
      </w:r>
      <w:r w:rsidR="00D028E4" w:rsidRPr="00D02B82">
        <w:rPr>
          <w:rFonts w:ascii="Arial" w:eastAsia="Calibri" w:hAnsi="Arial" w:cs="Arial"/>
          <w:sz w:val="20"/>
          <w:szCs w:val="20"/>
        </w:rPr>
        <w:t>Health Affairs, supra note 2.</w:t>
      </w:r>
    </w:p>
  </w:footnote>
  <w:footnote w:id="6">
    <w:p w14:paraId="57B4F272" w14:textId="7A5B9B35" w:rsidR="00A650BD" w:rsidRDefault="00A650BD">
      <w:pPr>
        <w:pStyle w:val="FootnoteText"/>
      </w:pPr>
      <w:r w:rsidRPr="00D02B82">
        <w:rPr>
          <w:rStyle w:val="FootnoteReference"/>
          <w:rFonts w:ascii="Arial" w:hAnsi="Arial" w:cs="Arial"/>
        </w:rPr>
        <w:footnoteRef/>
      </w:r>
      <w:r w:rsidRPr="00D02B82">
        <w:rPr>
          <w:rFonts w:ascii="Arial" w:hAnsi="Arial" w:cs="Arial"/>
        </w:rPr>
        <w:t xml:space="preserve"> </w:t>
      </w:r>
      <w:r w:rsidR="00391F70" w:rsidRPr="00D02B82">
        <w:rPr>
          <w:rFonts w:ascii="Arial" w:hAnsi="Arial" w:cs="Arial"/>
        </w:rPr>
        <w:t>Judge David L. Bazelon Center for Mental Health Law, et al., Brief for Grants Pass v. Gloria Johnson, et al., as Amici Curiae</w:t>
      </w:r>
      <w:r w:rsidR="00D028E4" w:rsidRPr="00D02B82">
        <w:rPr>
          <w:rFonts w:ascii="Arial" w:hAnsi="Arial" w:cs="Arial"/>
        </w:rPr>
        <w:t xml:space="preserve"> </w:t>
      </w:r>
      <w:r w:rsidR="00391F70" w:rsidRPr="00D02B82">
        <w:rPr>
          <w:rFonts w:ascii="Arial" w:hAnsi="Arial" w:cs="Arial"/>
        </w:rPr>
        <w:t xml:space="preserve">(2024), available </w:t>
      </w:r>
      <w:hyperlink r:id="rId5" w:history="1">
        <w:r w:rsidR="00391F70" w:rsidRPr="00D02B82">
          <w:rPr>
            <w:rStyle w:val="Hyperlink"/>
            <w:rFonts w:ascii="Arial" w:hAnsi="Arial" w:cs="Arial"/>
          </w:rPr>
          <w:t xml:space="preserve">at </w:t>
        </w:r>
        <w:r w:rsidR="0010739F" w:rsidRPr="00D02B82">
          <w:rPr>
            <w:rStyle w:val="Hyperlink"/>
            <w:rFonts w:ascii="Arial" w:hAnsi="Arial" w:cs="Arial"/>
          </w:rPr>
          <w:t>https://www.bazelon.org/wp-content/uploads/2024/04/Amicus-brief-Grants-Pass-v-Johnson-4-3-2024.pdf</w:t>
        </w:r>
      </w:hyperlink>
      <w:r w:rsidR="00391F70" w:rsidRPr="00D02B82">
        <w:rPr>
          <w:rFonts w:ascii="Arial" w:hAnsi="Arial" w:cs="Arial"/>
        </w:rPr>
        <w:t>.</w:t>
      </w:r>
    </w:p>
  </w:footnote>
  <w:footnote w:id="7">
    <w:p w14:paraId="04926EFE" w14:textId="2C07F333" w:rsidR="00F46299" w:rsidRPr="00D02B82" w:rsidRDefault="00F46299" w:rsidP="00F46299">
      <w:pPr>
        <w:pStyle w:val="FootnoteText"/>
        <w:rPr>
          <w:rFonts w:ascii="Arial" w:eastAsia="MS Mincho" w:hAnsi="Arial" w:cs="Arial"/>
          <w:lang w:eastAsia="zh-TW"/>
        </w:rPr>
      </w:pPr>
      <w:r w:rsidRPr="00D02B82">
        <w:rPr>
          <w:rStyle w:val="FootnoteReference"/>
          <w:rFonts w:ascii="Arial" w:hAnsi="Arial" w:cs="Arial"/>
        </w:rPr>
        <w:footnoteRef/>
      </w:r>
      <w:r w:rsidRPr="00D02B82">
        <w:rPr>
          <w:rFonts w:ascii="Arial" w:hAnsi="Arial" w:cs="Arial"/>
        </w:rPr>
        <w:t xml:space="preserve"> </w:t>
      </w:r>
      <w:r w:rsidR="00495AC4" w:rsidRPr="00D02B82">
        <w:rPr>
          <w:rFonts w:ascii="Arial" w:eastAsia="MS Mincho" w:hAnsi="Arial" w:cs="Arial"/>
          <w:lang w:eastAsia="zh-TW"/>
        </w:rPr>
        <w:t xml:space="preserve">Vera Institute of Justice, “Aging Out: Using Compassionate Release to Address the Growth of Aging and Infirm Prison Populations” (December 2017), available at </w:t>
      </w:r>
      <w:hyperlink r:id="rId6" w:history="1">
        <w:r w:rsidR="00495AC4" w:rsidRPr="00D02B82">
          <w:rPr>
            <w:rFonts w:ascii="Arial" w:eastAsia="MS Mincho" w:hAnsi="Arial" w:cs="Arial"/>
            <w:color w:val="0000FF"/>
            <w:u w:val="single"/>
            <w:lang w:eastAsia="zh-TW"/>
          </w:rPr>
          <w:t>https://www.vera.org/downloads/publications/Using-Compassionate-Release-to-Address-the-Growth-of-Aging-and-Infirm-Prison-Populations%E2%80%94Full-Report.pdf</w:t>
        </w:r>
      </w:hyperlink>
      <w:r w:rsidR="00495AC4" w:rsidRPr="00D02B82">
        <w:rPr>
          <w:rFonts w:ascii="Arial" w:eastAsia="MS Mincho" w:hAnsi="Arial" w:cs="Arial"/>
          <w:lang w:eastAsia="zh-TW"/>
        </w:rPr>
        <w:t>.</w:t>
      </w:r>
    </w:p>
  </w:footnote>
  <w:footnote w:id="8">
    <w:p w14:paraId="00B8C764" w14:textId="094F37A2" w:rsidR="00F46299" w:rsidRPr="00D02B82" w:rsidRDefault="00F46299" w:rsidP="00F46299">
      <w:pPr>
        <w:pStyle w:val="FootnoteText"/>
        <w:rPr>
          <w:rFonts w:ascii="Arial" w:hAnsi="Arial" w:cs="Arial"/>
        </w:rPr>
      </w:pPr>
      <w:r w:rsidRPr="00D02B82">
        <w:rPr>
          <w:rStyle w:val="FootnoteReference"/>
          <w:rFonts w:ascii="Arial" w:hAnsi="Arial" w:cs="Arial"/>
        </w:rPr>
        <w:footnoteRef/>
      </w:r>
      <w:r w:rsidRPr="00D02B82">
        <w:rPr>
          <w:rFonts w:ascii="Arial" w:hAnsi="Arial" w:cs="Arial"/>
        </w:rPr>
        <w:t xml:space="preserve"> </w:t>
      </w:r>
      <w:r w:rsidR="00495AC4" w:rsidRPr="00D02B82">
        <w:rPr>
          <w:rFonts w:ascii="Arial" w:hAnsi="Arial" w:cs="Arial"/>
        </w:rPr>
        <w:t xml:space="preserve">U.S. Equal Employment Opportunity Commission, Enforcement Guidance on the Consideration of Arrest and Conviction Records in Employment Decisions Under Title VII of the Civil Rights Act (April 2012), available at </w:t>
      </w:r>
      <w:hyperlink r:id="rId7" w:history="1">
        <w:r w:rsidR="00495AC4" w:rsidRPr="00D02B82">
          <w:rPr>
            <w:rStyle w:val="Hyperlink"/>
            <w:rFonts w:ascii="Arial" w:hAnsi="Arial" w:cs="Arial"/>
          </w:rPr>
          <w:t>https://www.eeoc.gov/laws/guidance/enforcement-guidance-consideration-arrest-and-conviction-records-employment-decisions</w:t>
        </w:r>
      </w:hyperlink>
      <w:r w:rsidR="00495AC4" w:rsidRPr="00D02B82">
        <w:rPr>
          <w:rFonts w:ascii="Arial" w:hAnsi="Arial" w:cs="Arial"/>
        </w:rPr>
        <w:t>.</w:t>
      </w:r>
    </w:p>
  </w:footnote>
  <w:footnote w:id="9">
    <w:p w14:paraId="6EBEBD33" w14:textId="77777777" w:rsidR="0099349D" w:rsidRDefault="0099349D" w:rsidP="0099349D">
      <w:pPr>
        <w:pStyle w:val="FootnoteText"/>
      </w:pPr>
      <w:r w:rsidRPr="00D02B82">
        <w:rPr>
          <w:rStyle w:val="FootnoteReference"/>
          <w:rFonts w:ascii="Arial" w:hAnsi="Arial" w:cs="Arial"/>
        </w:rPr>
        <w:footnoteRef/>
      </w:r>
      <w:r w:rsidRPr="00D02B82">
        <w:rPr>
          <w:rFonts w:ascii="Arial" w:hAnsi="Arial" w:cs="Arial"/>
        </w:rPr>
        <w:t xml:space="preserve"> Although the proposed rule defines “individualized assessments” in the context of admissions, our references to this term extends to assessments of mitigating circumstances in the context of evictions and terminations.</w:t>
      </w:r>
      <w:r>
        <w:t xml:space="preserve"> </w:t>
      </w:r>
    </w:p>
  </w:footnote>
  <w:footnote w:id="10">
    <w:p w14:paraId="118F6D4A" w14:textId="4F38E740" w:rsidR="00D305C6" w:rsidRPr="00D02B82" w:rsidRDefault="00D305C6">
      <w:pPr>
        <w:pStyle w:val="FootnoteText"/>
        <w:rPr>
          <w:rFonts w:ascii="Arial" w:hAnsi="Arial" w:cs="Arial"/>
        </w:rPr>
      </w:pPr>
      <w:r w:rsidRPr="00D02B82">
        <w:rPr>
          <w:rStyle w:val="FootnoteReference"/>
          <w:rFonts w:ascii="Arial" w:hAnsi="Arial" w:cs="Arial"/>
        </w:rPr>
        <w:footnoteRef/>
      </w:r>
      <w:r w:rsidRPr="00D02B82">
        <w:rPr>
          <w:rFonts w:ascii="Arial" w:hAnsi="Arial" w:cs="Arial"/>
        </w:rPr>
        <w:t xml:space="preserve"> HUD Office of Inspector General, “ “HUD Did Not Have Adequate Policies and Procedures for Ensuring That Public Housing Agencies Properly Processed Requests for Reasonable Accommodation” (February 2022), available at </w:t>
      </w:r>
      <w:hyperlink r:id="rId8">
        <w:r w:rsidRPr="00D02B82">
          <w:rPr>
            <w:rStyle w:val="Hyperlink"/>
            <w:rFonts w:ascii="Arial" w:hAnsi="Arial" w:cs="Arial"/>
          </w:rPr>
          <w:t>https://www.hudoig.gov/reports-publications/report/hud-did-not-have-adequate-policies-and-procedures-ensuring-public</w:t>
        </w:r>
      </w:hyperlink>
      <w:r w:rsidR="002D04EB" w:rsidRPr="00D02B82">
        <w:rPr>
          <w:rFonts w:ascii="Arial" w:hAnsi="Arial" w:cs="Arial"/>
        </w:rPr>
        <w:t>.</w:t>
      </w:r>
    </w:p>
  </w:footnote>
  <w:footnote w:id="11">
    <w:p w14:paraId="76576D28" w14:textId="4F6328C4" w:rsidR="00A66402" w:rsidRPr="00D02B82" w:rsidRDefault="00A66402">
      <w:pPr>
        <w:pStyle w:val="FootnoteText"/>
        <w:rPr>
          <w:rFonts w:ascii="Arial" w:hAnsi="Arial" w:cs="Arial"/>
        </w:rPr>
      </w:pPr>
      <w:r w:rsidRPr="00D02B82">
        <w:rPr>
          <w:rStyle w:val="FootnoteReference"/>
          <w:rFonts w:ascii="Arial" w:hAnsi="Arial" w:cs="Arial"/>
        </w:rPr>
        <w:footnoteRef/>
      </w:r>
      <w:r w:rsidRPr="00D02B82">
        <w:rPr>
          <w:rFonts w:ascii="Arial" w:hAnsi="Arial" w:cs="Arial"/>
        </w:rPr>
        <w:t xml:space="preserve"> CCD Housing Task Force, Letter Re: GAO Report, </w:t>
      </w:r>
      <w:r w:rsidR="0089146D" w:rsidRPr="00D02B82">
        <w:rPr>
          <w:rFonts w:ascii="Arial" w:hAnsi="Arial" w:cs="Arial"/>
        </w:rPr>
        <w:t>“</w:t>
      </w:r>
      <w:r w:rsidRPr="00D02B82">
        <w:rPr>
          <w:rFonts w:ascii="Arial" w:hAnsi="Arial" w:cs="Arial"/>
        </w:rPr>
        <w:t>Enhanced Data and Strategy Could Improve Oversight of Accessibility Requirements</w:t>
      </w:r>
      <w:r w:rsidR="0089146D" w:rsidRPr="00D02B82">
        <w:rPr>
          <w:rFonts w:ascii="Arial" w:hAnsi="Arial" w:cs="Arial"/>
        </w:rPr>
        <w:t>”</w:t>
      </w:r>
      <w:r w:rsidRPr="00D02B82">
        <w:rPr>
          <w:rFonts w:ascii="Arial" w:hAnsi="Arial" w:cs="Arial"/>
        </w:rPr>
        <w:t xml:space="preserve"> (September 2023), available at </w:t>
      </w:r>
      <w:hyperlink r:id="rId9" w:history="1">
        <w:r w:rsidRPr="00D02B82">
          <w:rPr>
            <w:rStyle w:val="Hyperlink"/>
            <w:rFonts w:ascii="Arial" w:hAnsi="Arial" w:cs="Arial"/>
          </w:rPr>
          <w:t>https://www.c-c-d.org/fichiers/CCD-HTF-Letter-GAO-RA-Report-July-2023-FINAL.pdf</w:t>
        </w:r>
      </w:hyperlink>
      <w:r w:rsidR="0089146D" w:rsidRPr="00D02B82">
        <w:rPr>
          <w:rFonts w:ascii="Arial" w:hAnsi="Arial" w:cs="Arial"/>
        </w:rPr>
        <w:t>.</w:t>
      </w:r>
    </w:p>
  </w:footnote>
  <w:footnote w:id="12">
    <w:p w14:paraId="0000004C" w14:textId="0E822D27" w:rsidR="00CD7909" w:rsidRPr="00D02B82" w:rsidRDefault="00C5066B">
      <w:pPr>
        <w:pBdr>
          <w:top w:val="nil"/>
          <w:left w:val="nil"/>
          <w:bottom w:val="nil"/>
          <w:right w:val="nil"/>
          <w:between w:val="nil"/>
        </w:pBdr>
        <w:rPr>
          <w:rFonts w:ascii="Arial" w:hAnsi="Arial" w:cs="Arial"/>
          <w:color w:val="000000"/>
          <w:sz w:val="20"/>
          <w:szCs w:val="20"/>
        </w:rPr>
      </w:pPr>
      <w:r w:rsidRPr="00D02B82">
        <w:rPr>
          <w:rStyle w:val="FootnoteReference"/>
          <w:rFonts w:ascii="Arial" w:hAnsi="Arial" w:cs="Arial"/>
          <w:sz w:val="20"/>
          <w:szCs w:val="20"/>
        </w:rPr>
        <w:footnoteRef/>
      </w:r>
      <w:r w:rsidRPr="00D02B82">
        <w:rPr>
          <w:rFonts w:ascii="Arial" w:hAnsi="Arial" w:cs="Arial"/>
          <w:color w:val="000000"/>
          <w:sz w:val="20"/>
          <w:szCs w:val="20"/>
        </w:rPr>
        <w:t xml:space="preserve"> </w:t>
      </w:r>
      <w:r w:rsidR="00A70B7C" w:rsidRPr="00D02B82">
        <w:rPr>
          <w:rFonts w:ascii="Arial" w:hAnsi="Arial" w:cs="Arial"/>
          <w:color w:val="000000"/>
          <w:sz w:val="20"/>
          <w:szCs w:val="20"/>
        </w:rPr>
        <w:t>Institute of Real Estate Management,</w:t>
      </w:r>
      <w:r w:rsidR="006338F9" w:rsidRPr="00D02B82">
        <w:rPr>
          <w:rFonts w:ascii="Arial" w:hAnsi="Arial" w:cs="Arial"/>
          <w:color w:val="000000"/>
          <w:sz w:val="20"/>
          <w:szCs w:val="20"/>
        </w:rPr>
        <w:t xml:space="preserve"> </w:t>
      </w:r>
      <w:r w:rsidR="00A70B7C" w:rsidRPr="00D02B82">
        <w:rPr>
          <w:rFonts w:ascii="Arial" w:hAnsi="Arial" w:cs="Arial"/>
          <w:color w:val="000000"/>
          <w:sz w:val="20"/>
          <w:szCs w:val="20"/>
        </w:rPr>
        <w:t xml:space="preserve">“How to Overcome High Employee Turnover in Property Management” (April 2021), available at </w:t>
      </w:r>
      <w:hyperlink r:id="rId10" w:history="1">
        <w:r w:rsidR="00A70B7C" w:rsidRPr="00D02B82">
          <w:rPr>
            <w:rStyle w:val="Hyperlink"/>
            <w:rFonts w:ascii="Arial" w:hAnsi="Arial" w:cs="Arial"/>
            <w:sz w:val="20"/>
            <w:szCs w:val="20"/>
          </w:rPr>
          <w:t>https://www.irem.org/learning/publications-news/blog/irem-blogs/2021/04/how-to-overcome-high-employee-turnover-in-property-management</w:t>
        </w:r>
      </w:hyperlink>
      <w:r w:rsidR="00A70B7C" w:rsidRPr="00D02B82">
        <w:rPr>
          <w:rFonts w:ascii="Arial" w:hAnsi="Arial" w:cs="Arial"/>
          <w:color w:val="0000FF"/>
          <w:sz w:val="20"/>
          <w:szCs w:val="20"/>
          <w:u w:val="single"/>
        </w:rPr>
        <w:t>.</w:t>
      </w:r>
    </w:p>
  </w:footnote>
  <w:footnote w:id="13">
    <w:p w14:paraId="0867193C" w14:textId="0592C3CB" w:rsidR="008041F7" w:rsidRDefault="008041F7" w:rsidP="008041F7">
      <w:pPr>
        <w:pBdr>
          <w:top w:val="nil"/>
          <w:left w:val="nil"/>
          <w:bottom w:val="nil"/>
          <w:right w:val="nil"/>
          <w:between w:val="nil"/>
        </w:pBdr>
        <w:rPr>
          <w:color w:val="000000"/>
          <w:sz w:val="20"/>
          <w:szCs w:val="20"/>
        </w:rPr>
      </w:pPr>
      <w:r w:rsidRPr="00D02B82">
        <w:rPr>
          <w:rStyle w:val="FootnoteReference"/>
          <w:rFonts w:ascii="Arial" w:hAnsi="Arial" w:cs="Arial"/>
          <w:sz w:val="20"/>
          <w:szCs w:val="20"/>
        </w:rPr>
        <w:footnoteRef/>
      </w:r>
      <w:r w:rsidRPr="00D02B82">
        <w:rPr>
          <w:rFonts w:ascii="Arial" w:hAnsi="Arial" w:cs="Arial"/>
          <w:color w:val="000000"/>
          <w:sz w:val="20"/>
          <w:szCs w:val="20"/>
        </w:rPr>
        <w:t xml:space="preserve"> </w:t>
      </w:r>
      <w:proofErr w:type="spellStart"/>
      <w:r w:rsidR="00B8058D" w:rsidRPr="00D02B82">
        <w:rPr>
          <w:rFonts w:ascii="Arial" w:hAnsi="Arial" w:cs="Arial"/>
          <w:color w:val="000000"/>
          <w:sz w:val="20"/>
          <w:szCs w:val="20"/>
        </w:rPr>
        <w:t>MassHousing</w:t>
      </w:r>
      <w:proofErr w:type="spellEnd"/>
      <w:r w:rsidR="00B8058D" w:rsidRPr="00D02B82">
        <w:rPr>
          <w:rFonts w:ascii="Arial" w:hAnsi="Arial" w:cs="Arial"/>
          <w:color w:val="000000"/>
          <w:sz w:val="20"/>
          <w:szCs w:val="20"/>
        </w:rPr>
        <w:t xml:space="preserve">, “A Handbook on the Legal Obligations and Rights of Public and Assisted Housing Providers Under Federal and State Fair Housing Law for Applicants and Tenants with Disabilities” (July 2015), available at </w:t>
      </w:r>
      <w:hyperlink r:id="rId11" w:history="1">
        <w:r w:rsidR="00B8058D" w:rsidRPr="00D02B82">
          <w:rPr>
            <w:rStyle w:val="Hyperlink"/>
            <w:rFonts w:ascii="Arial" w:hAnsi="Arial" w:cs="Arial"/>
            <w:sz w:val="20"/>
            <w:szCs w:val="20"/>
          </w:rPr>
          <w:t>https://masshousing.com/-/media/Files/Housing-Stability/Fair-Housing/RA_Handbook.ashx</w:t>
        </w:r>
      </w:hyperlink>
      <w:r w:rsidR="00B8058D" w:rsidRPr="00D02B82">
        <w:rPr>
          <w:rFonts w:ascii="Arial" w:hAnsi="Arial" w:cs="Arial"/>
          <w:color w:val="0000FF"/>
          <w:sz w:val="20"/>
          <w:szCs w:val="20"/>
          <w:u w:val="single"/>
        </w:rPr>
        <w:t>.</w:t>
      </w:r>
    </w:p>
  </w:footnote>
  <w:footnote w:id="14">
    <w:p w14:paraId="2B508939" w14:textId="1991E38C" w:rsidR="005D4F61" w:rsidRPr="0010589A" w:rsidRDefault="005D4F61" w:rsidP="005D4F61">
      <w:pPr>
        <w:pBdr>
          <w:top w:val="nil"/>
          <w:left w:val="nil"/>
          <w:bottom w:val="nil"/>
          <w:right w:val="nil"/>
          <w:between w:val="nil"/>
        </w:pBdr>
        <w:rPr>
          <w:rFonts w:ascii="Arial" w:hAnsi="Arial" w:cs="Arial"/>
          <w:color w:val="000000"/>
          <w:sz w:val="20"/>
          <w:szCs w:val="20"/>
        </w:rPr>
      </w:pPr>
      <w:r w:rsidRPr="00D02B82">
        <w:rPr>
          <w:rStyle w:val="FootnoteReference"/>
          <w:rFonts w:ascii="Arial" w:hAnsi="Arial" w:cs="Arial"/>
          <w:sz w:val="20"/>
          <w:szCs w:val="20"/>
        </w:rPr>
        <w:footnoteRef/>
      </w:r>
      <w:r w:rsidR="00604287" w:rsidRPr="00D02B82">
        <w:rPr>
          <w:rFonts w:ascii="Arial" w:hAnsi="Arial" w:cs="Arial"/>
          <w:color w:val="000000"/>
          <w:sz w:val="20"/>
          <w:szCs w:val="20"/>
        </w:rPr>
        <w:t xml:space="preserve"> HUD Office of Policy Development and Research, “Rental Housing Discrimination on the Basis of Mental</w:t>
      </w:r>
      <w:r w:rsidR="00604287">
        <w:rPr>
          <w:color w:val="000000"/>
          <w:sz w:val="20"/>
          <w:szCs w:val="20"/>
        </w:rPr>
        <w:t xml:space="preserve"> </w:t>
      </w:r>
      <w:r w:rsidR="00604287" w:rsidRPr="0010589A">
        <w:rPr>
          <w:rFonts w:ascii="Arial" w:hAnsi="Arial" w:cs="Arial"/>
          <w:color w:val="000000"/>
          <w:sz w:val="20"/>
          <w:szCs w:val="20"/>
        </w:rPr>
        <w:t>Disabilities: Results of Pilot Testing”</w:t>
      </w:r>
      <w:r w:rsidRPr="0010589A">
        <w:rPr>
          <w:rFonts w:ascii="Arial" w:hAnsi="Arial" w:cs="Arial"/>
          <w:color w:val="000000"/>
          <w:sz w:val="20"/>
          <w:szCs w:val="20"/>
        </w:rPr>
        <w:t xml:space="preserve"> </w:t>
      </w:r>
      <w:r w:rsidR="00604287" w:rsidRPr="0010589A">
        <w:rPr>
          <w:rFonts w:ascii="Arial" w:hAnsi="Arial" w:cs="Arial"/>
          <w:color w:val="000000"/>
          <w:sz w:val="20"/>
          <w:szCs w:val="20"/>
        </w:rPr>
        <w:t xml:space="preserve">(August 2017), available at </w:t>
      </w:r>
      <w:hyperlink r:id="rId12" w:history="1">
        <w:r w:rsidR="00604287" w:rsidRPr="0010589A">
          <w:rPr>
            <w:rStyle w:val="Hyperlink"/>
            <w:rFonts w:ascii="Arial" w:hAnsi="Arial" w:cs="Arial"/>
            <w:sz w:val="20"/>
            <w:szCs w:val="20"/>
          </w:rPr>
          <w:t>www.huduser.gov/portal/sites/default/files/pdf/MentalDisabilities-FinalPaper.pdf</w:t>
        </w:r>
      </w:hyperlink>
      <w:r w:rsidR="00604287" w:rsidRPr="0010589A">
        <w:rPr>
          <w:rFonts w:ascii="Arial" w:hAnsi="Arial" w:cs="Arial"/>
          <w:color w:val="0000FF"/>
          <w:sz w:val="20"/>
          <w:szCs w:val="20"/>
          <w:u w:val="single"/>
        </w:rPr>
        <w:t xml:space="preserve">. </w:t>
      </w:r>
    </w:p>
  </w:footnote>
  <w:footnote w:id="15">
    <w:p w14:paraId="1F3A51CF" w14:textId="0B26A629" w:rsidR="00315C43" w:rsidRPr="0010589A" w:rsidRDefault="00315C43">
      <w:pPr>
        <w:pStyle w:val="FootnoteText"/>
        <w:rPr>
          <w:rFonts w:ascii="Arial" w:hAnsi="Arial" w:cs="Arial"/>
        </w:rPr>
      </w:pPr>
      <w:r w:rsidRPr="0010589A">
        <w:rPr>
          <w:rStyle w:val="FootnoteReference"/>
          <w:rFonts w:ascii="Arial" w:hAnsi="Arial" w:cs="Arial"/>
        </w:rPr>
        <w:footnoteRef/>
      </w:r>
      <w:r w:rsidRPr="0010589A">
        <w:rPr>
          <w:rFonts w:ascii="Arial" w:hAnsi="Arial" w:cs="Arial"/>
        </w:rPr>
        <w:t xml:space="preserve"> HUD, Office of General Counsel Guidance on Application of Fair Housing Act Standards to the Enforcement of Local Nuisance and Crime-Free Housing Ordinances Against Victims of Domestic Violence, Other Crime Victims, and Others Who Require Police or Emergency Services (2016), available at </w:t>
      </w:r>
      <w:hyperlink r:id="rId13" w:history="1">
        <w:r w:rsidRPr="0010589A">
          <w:rPr>
            <w:rStyle w:val="Hyperlink"/>
            <w:rFonts w:ascii="Arial" w:hAnsi="Arial" w:cs="Arial"/>
          </w:rPr>
          <w:t>https://www.hud.gov/sites/documents/FINALNUISANCEORDGDNCE.PDF</w:t>
        </w:r>
      </w:hyperlink>
      <w:r w:rsidRPr="0010589A">
        <w:rPr>
          <w:rFonts w:ascii="Arial" w:hAnsi="Arial" w:cs="Arial"/>
        </w:rPr>
        <w:t>.</w:t>
      </w:r>
    </w:p>
  </w:footnote>
  <w:footnote w:id="16">
    <w:p w14:paraId="0000004F" w14:textId="77777777" w:rsidR="00CD7909" w:rsidRPr="0010589A" w:rsidRDefault="00C5066B">
      <w:pPr>
        <w:rPr>
          <w:rFonts w:ascii="Arial" w:hAnsi="Arial" w:cs="Arial"/>
          <w:sz w:val="20"/>
          <w:szCs w:val="20"/>
        </w:rPr>
      </w:pPr>
      <w:r w:rsidRPr="0010589A">
        <w:rPr>
          <w:rStyle w:val="FootnoteReference"/>
          <w:rFonts w:ascii="Arial" w:hAnsi="Arial" w:cs="Arial"/>
          <w:sz w:val="20"/>
          <w:szCs w:val="20"/>
        </w:rPr>
        <w:footnoteRef/>
      </w:r>
      <w:r w:rsidRPr="0010589A">
        <w:rPr>
          <w:rFonts w:ascii="Arial" w:hAnsi="Arial" w:cs="Arial"/>
          <w:sz w:val="20"/>
          <w:szCs w:val="20"/>
        </w:rPr>
        <w:t xml:space="preserve"> </w:t>
      </w:r>
      <w:r w:rsidRPr="0010589A">
        <w:rPr>
          <w:rFonts w:ascii="Arial" w:hAnsi="Arial" w:cs="Arial"/>
          <w:i/>
          <w:sz w:val="20"/>
          <w:szCs w:val="20"/>
        </w:rPr>
        <w:t>Cf</w:t>
      </w:r>
      <w:r w:rsidRPr="0010589A">
        <w:rPr>
          <w:rFonts w:ascii="Arial" w:hAnsi="Arial" w:cs="Arial"/>
          <w:sz w:val="20"/>
          <w:szCs w:val="20"/>
        </w:rPr>
        <w:t xml:space="preserve">. H.R. REP. NO. 711, 100th Cong., 2d Sess. 18, 29, reprinted in 1988 U.S. CODE CONG. ADMIN. NEWS 2173 (regarding whether a person should be considered a direct threat to others under the FHAA). </w:t>
      </w:r>
    </w:p>
  </w:footnote>
  <w:footnote w:id="17">
    <w:p w14:paraId="43374B24" w14:textId="77777777" w:rsidR="00AA62A0" w:rsidRPr="0010589A" w:rsidRDefault="00AA62A0" w:rsidP="00AA62A0">
      <w:pPr>
        <w:pBdr>
          <w:top w:val="nil"/>
          <w:left w:val="nil"/>
          <w:bottom w:val="nil"/>
          <w:right w:val="nil"/>
          <w:between w:val="nil"/>
        </w:pBdr>
        <w:rPr>
          <w:rFonts w:ascii="Arial" w:hAnsi="Arial" w:cs="Arial"/>
          <w:color w:val="000000"/>
          <w:sz w:val="20"/>
          <w:szCs w:val="20"/>
        </w:rPr>
      </w:pPr>
      <w:r w:rsidRPr="0010589A">
        <w:rPr>
          <w:rStyle w:val="FootnoteReference"/>
          <w:rFonts w:ascii="Arial" w:hAnsi="Arial" w:cs="Arial"/>
          <w:sz w:val="20"/>
          <w:szCs w:val="20"/>
        </w:rPr>
        <w:footnoteRef/>
      </w:r>
      <w:r w:rsidRPr="0010589A">
        <w:rPr>
          <w:rFonts w:ascii="Arial" w:hAnsi="Arial" w:cs="Arial"/>
          <w:color w:val="000000"/>
          <w:sz w:val="20"/>
          <w:szCs w:val="20"/>
        </w:rPr>
        <w:t xml:space="preserve"> </w:t>
      </w:r>
      <w:r w:rsidRPr="0010589A">
        <w:rPr>
          <w:rFonts w:ascii="Arial" w:eastAsia="Calibri" w:hAnsi="Arial" w:cs="Arial"/>
          <w:color w:val="000000"/>
          <w:sz w:val="20"/>
          <w:szCs w:val="20"/>
        </w:rPr>
        <w:t>42 U.S.C. § 3604(f)(9).</w:t>
      </w:r>
    </w:p>
  </w:footnote>
  <w:footnote w:id="18">
    <w:p w14:paraId="266DF092" w14:textId="5DED8917" w:rsidR="00AA62A0" w:rsidRPr="0010589A" w:rsidRDefault="00AA62A0" w:rsidP="00AA62A0">
      <w:pPr>
        <w:pBdr>
          <w:top w:val="nil"/>
          <w:left w:val="nil"/>
          <w:bottom w:val="nil"/>
          <w:right w:val="nil"/>
          <w:between w:val="nil"/>
        </w:pBdr>
        <w:rPr>
          <w:rFonts w:ascii="Arial" w:hAnsi="Arial" w:cs="Arial"/>
          <w:color w:val="000000"/>
          <w:sz w:val="20"/>
          <w:szCs w:val="20"/>
        </w:rPr>
      </w:pPr>
      <w:r w:rsidRPr="0010589A">
        <w:rPr>
          <w:rStyle w:val="FootnoteReference"/>
          <w:rFonts w:ascii="Arial" w:hAnsi="Arial" w:cs="Arial"/>
          <w:sz w:val="20"/>
          <w:szCs w:val="20"/>
        </w:rPr>
        <w:footnoteRef/>
      </w:r>
      <w:r w:rsidRPr="0010589A">
        <w:rPr>
          <w:rFonts w:ascii="Arial" w:hAnsi="Arial" w:cs="Arial"/>
          <w:color w:val="000000"/>
          <w:sz w:val="20"/>
          <w:szCs w:val="20"/>
        </w:rPr>
        <w:t xml:space="preserve"> </w:t>
      </w:r>
      <w:r w:rsidR="008F11EB" w:rsidRPr="0010589A">
        <w:rPr>
          <w:rFonts w:ascii="Arial" w:hAnsi="Arial" w:cs="Arial"/>
          <w:sz w:val="20"/>
          <w:szCs w:val="20"/>
        </w:rPr>
        <w:t xml:space="preserve">HUD and U.S. Department of Justice, Joint Statement of the Department of Housing and Urban Development and the Department of Justice: Reasonable Accommodations Under the Fair Housing Act (May 2004), available at </w:t>
      </w:r>
      <w:hyperlink r:id="rId14" w:history="1">
        <w:r w:rsidR="008F11EB" w:rsidRPr="0010589A">
          <w:rPr>
            <w:rStyle w:val="Hyperlink"/>
            <w:rFonts w:ascii="Arial" w:hAnsi="Arial" w:cs="Arial"/>
            <w:sz w:val="20"/>
            <w:szCs w:val="20"/>
          </w:rPr>
          <w:t>https://www.justice.gov/crt/us-department-housing-and-urban-development</w:t>
        </w:r>
      </w:hyperlink>
      <w:r w:rsidR="0010589A" w:rsidRPr="0010589A">
        <w:rPr>
          <w:rFonts w:ascii="Arial" w:hAnsi="Arial" w:cs="Arial"/>
          <w:sz w:val="20"/>
          <w:szCs w:val="20"/>
        </w:rPr>
        <w:t>.</w:t>
      </w:r>
    </w:p>
    <w:p w14:paraId="62B2D90B" w14:textId="77777777" w:rsidR="00AA62A0" w:rsidRPr="008F11EB" w:rsidRDefault="00AA62A0" w:rsidP="00AA62A0">
      <w:pPr>
        <w:pBdr>
          <w:top w:val="nil"/>
          <w:left w:val="nil"/>
          <w:bottom w:val="nil"/>
          <w:right w:val="nil"/>
          <w:between w:val="nil"/>
        </w:pBdr>
        <w:rPr>
          <w:rFonts w:ascii="Arial" w:hAnsi="Arial"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3" w14:textId="77777777" w:rsidR="00CD7909" w:rsidRDefault="00CD79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41FC8074" w:rsidR="00CD7909" w:rsidRDefault="00CD790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5" w14:textId="77777777" w:rsidR="00CD7909" w:rsidRDefault="00C5066B">
    <w:pPr>
      <w:tabs>
        <w:tab w:val="center" w:pos="4680"/>
        <w:tab w:val="right" w:pos="9360"/>
      </w:tabs>
      <w:jc w:val="center"/>
      <w:rPr>
        <w:color w:val="000000"/>
      </w:rPr>
    </w:pPr>
    <w:r>
      <w:rPr>
        <w:rFonts w:ascii="Calibri" w:eastAsia="Calibri" w:hAnsi="Calibri" w:cs="Calibri"/>
        <w:noProof/>
      </w:rPr>
      <w:drawing>
        <wp:inline distT="0" distB="0" distL="0" distR="0" wp14:anchorId="390AAC78" wp14:editId="6987449E">
          <wp:extent cx="2673570" cy="1388745"/>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73570" cy="13887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09"/>
    <w:rsid w:val="000272B3"/>
    <w:rsid w:val="00030CDC"/>
    <w:rsid w:val="00045A31"/>
    <w:rsid w:val="000626C0"/>
    <w:rsid w:val="0007678D"/>
    <w:rsid w:val="00080F82"/>
    <w:rsid w:val="00091BB0"/>
    <w:rsid w:val="000A29A9"/>
    <w:rsid w:val="000B5202"/>
    <w:rsid w:val="000C2F97"/>
    <w:rsid w:val="000D2370"/>
    <w:rsid w:val="000E28F8"/>
    <w:rsid w:val="000F1907"/>
    <w:rsid w:val="000F2767"/>
    <w:rsid w:val="0010589A"/>
    <w:rsid w:val="0010739F"/>
    <w:rsid w:val="0012460B"/>
    <w:rsid w:val="00142156"/>
    <w:rsid w:val="00162D8B"/>
    <w:rsid w:val="0016454D"/>
    <w:rsid w:val="001926E3"/>
    <w:rsid w:val="001C1489"/>
    <w:rsid w:val="001C32C4"/>
    <w:rsid w:val="001D026A"/>
    <w:rsid w:val="001E3EF0"/>
    <w:rsid w:val="00206730"/>
    <w:rsid w:val="00215A21"/>
    <w:rsid w:val="00243E8E"/>
    <w:rsid w:val="002557CA"/>
    <w:rsid w:val="00255A2B"/>
    <w:rsid w:val="002B6D17"/>
    <w:rsid w:val="002C189B"/>
    <w:rsid w:val="002D04EB"/>
    <w:rsid w:val="002F1F9F"/>
    <w:rsid w:val="00315C43"/>
    <w:rsid w:val="003223D9"/>
    <w:rsid w:val="0033156E"/>
    <w:rsid w:val="003521D2"/>
    <w:rsid w:val="0036206F"/>
    <w:rsid w:val="0036479A"/>
    <w:rsid w:val="00390B5F"/>
    <w:rsid w:val="00391F70"/>
    <w:rsid w:val="003C39AD"/>
    <w:rsid w:val="003D0BEF"/>
    <w:rsid w:val="004351FC"/>
    <w:rsid w:val="00445C7D"/>
    <w:rsid w:val="00453DFA"/>
    <w:rsid w:val="00464943"/>
    <w:rsid w:val="00495AC4"/>
    <w:rsid w:val="004A2DE5"/>
    <w:rsid w:val="004C4D49"/>
    <w:rsid w:val="004D0259"/>
    <w:rsid w:val="004D283E"/>
    <w:rsid w:val="005024A0"/>
    <w:rsid w:val="00507818"/>
    <w:rsid w:val="00540B9B"/>
    <w:rsid w:val="00544FB6"/>
    <w:rsid w:val="00553534"/>
    <w:rsid w:val="00577462"/>
    <w:rsid w:val="00583186"/>
    <w:rsid w:val="00591245"/>
    <w:rsid w:val="00593ADA"/>
    <w:rsid w:val="005B08FC"/>
    <w:rsid w:val="005D4F61"/>
    <w:rsid w:val="005E05FE"/>
    <w:rsid w:val="00604287"/>
    <w:rsid w:val="006338F9"/>
    <w:rsid w:val="00640044"/>
    <w:rsid w:val="00650DA9"/>
    <w:rsid w:val="00651E9D"/>
    <w:rsid w:val="006834C0"/>
    <w:rsid w:val="006976B1"/>
    <w:rsid w:val="006A56AF"/>
    <w:rsid w:val="006A7ED3"/>
    <w:rsid w:val="007325F5"/>
    <w:rsid w:val="007519A8"/>
    <w:rsid w:val="00764DC2"/>
    <w:rsid w:val="007738EA"/>
    <w:rsid w:val="007B15F1"/>
    <w:rsid w:val="007E591A"/>
    <w:rsid w:val="008041F7"/>
    <w:rsid w:val="0083348F"/>
    <w:rsid w:val="00864BC8"/>
    <w:rsid w:val="0089146D"/>
    <w:rsid w:val="00893DFA"/>
    <w:rsid w:val="008A66F4"/>
    <w:rsid w:val="008D2ABD"/>
    <w:rsid w:val="008E5879"/>
    <w:rsid w:val="008F11EB"/>
    <w:rsid w:val="008F299B"/>
    <w:rsid w:val="00911B1D"/>
    <w:rsid w:val="00952891"/>
    <w:rsid w:val="00964196"/>
    <w:rsid w:val="00985ED0"/>
    <w:rsid w:val="00987305"/>
    <w:rsid w:val="0099349D"/>
    <w:rsid w:val="00A15B15"/>
    <w:rsid w:val="00A22A75"/>
    <w:rsid w:val="00A36088"/>
    <w:rsid w:val="00A650BD"/>
    <w:rsid w:val="00A66402"/>
    <w:rsid w:val="00A70B7C"/>
    <w:rsid w:val="00A747B8"/>
    <w:rsid w:val="00A94882"/>
    <w:rsid w:val="00AA62A0"/>
    <w:rsid w:val="00AB4620"/>
    <w:rsid w:val="00AC4F0D"/>
    <w:rsid w:val="00B018EB"/>
    <w:rsid w:val="00B03B0E"/>
    <w:rsid w:val="00B31034"/>
    <w:rsid w:val="00B5633B"/>
    <w:rsid w:val="00B62332"/>
    <w:rsid w:val="00B64F6A"/>
    <w:rsid w:val="00B72D99"/>
    <w:rsid w:val="00B8058D"/>
    <w:rsid w:val="00B84D3D"/>
    <w:rsid w:val="00BA3751"/>
    <w:rsid w:val="00C13C46"/>
    <w:rsid w:val="00C5066B"/>
    <w:rsid w:val="00C61176"/>
    <w:rsid w:val="00C74442"/>
    <w:rsid w:val="00C80997"/>
    <w:rsid w:val="00CD7909"/>
    <w:rsid w:val="00CF0C31"/>
    <w:rsid w:val="00CF1547"/>
    <w:rsid w:val="00CF4E59"/>
    <w:rsid w:val="00D028E4"/>
    <w:rsid w:val="00D02B82"/>
    <w:rsid w:val="00D14924"/>
    <w:rsid w:val="00D25CDB"/>
    <w:rsid w:val="00D302EC"/>
    <w:rsid w:val="00D305C6"/>
    <w:rsid w:val="00D36E25"/>
    <w:rsid w:val="00D408E0"/>
    <w:rsid w:val="00D97D95"/>
    <w:rsid w:val="00DA29FD"/>
    <w:rsid w:val="00DC07CE"/>
    <w:rsid w:val="00DE60A8"/>
    <w:rsid w:val="00E01BE3"/>
    <w:rsid w:val="00E41437"/>
    <w:rsid w:val="00E91C9F"/>
    <w:rsid w:val="00F0614C"/>
    <w:rsid w:val="00F13CAA"/>
    <w:rsid w:val="00F25EE1"/>
    <w:rsid w:val="00F46299"/>
    <w:rsid w:val="00F473EF"/>
    <w:rsid w:val="00FA7252"/>
    <w:rsid w:val="00FB4D0D"/>
    <w:rsid w:val="00FE3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709E3"/>
  <w15:docId w15:val="{6F2080A7-6E6D-4387-9BB9-530BF2C8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180" w:right="1235"/>
      <w:outlineLvl w:val="0"/>
    </w:pPr>
    <w:rPr>
      <w:b/>
      <w:bCs/>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94FBF"/>
    <w:rPr>
      <w:sz w:val="16"/>
      <w:szCs w:val="16"/>
    </w:rPr>
  </w:style>
  <w:style w:type="paragraph" w:styleId="CommentText">
    <w:name w:val="annotation text"/>
    <w:basedOn w:val="Normal"/>
    <w:link w:val="CommentTextChar"/>
    <w:uiPriority w:val="99"/>
    <w:unhideWhenUsed/>
    <w:rsid w:val="00994FBF"/>
    <w:rPr>
      <w:sz w:val="20"/>
      <w:szCs w:val="20"/>
    </w:rPr>
  </w:style>
  <w:style w:type="character" w:customStyle="1" w:styleId="CommentTextChar">
    <w:name w:val="Comment Text Char"/>
    <w:basedOn w:val="DefaultParagraphFont"/>
    <w:link w:val="CommentText"/>
    <w:uiPriority w:val="99"/>
    <w:rsid w:val="00994FBF"/>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994FBF"/>
    <w:rPr>
      <w:b/>
      <w:bCs/>
    </w:rPr>
  </w:style>
  <w:style w:type="character" w:customStyle="1" w:styleId="CommentSubjectChar">
    <w:name w:val="Comment Subject Char"/>
    <w:basedOn w:val="CommentTextChar"/>
    <w:link w:val="CommentSubject"/>
    <w:uiPriority w:val="99"/>
    <w:semiHidden/>
    <w:rsid w:val="00994FBF"/>
    <w:rPr>
      <w:rFonts w:ascii="Tahoma" w:eastAsia="Tahoma" w:hAnsi="Tahoma" w:cs="Tahoma"/>
      <w:b/>
      <w:bCs/>
      <w:sz w:val="20"/>
      <w:szCs w:val="20"/>
    </w:rPr>
  </w:style>
  <w:style w:type="paragraph" w:styleId="FootnoteText">
    <w:name w:val="footnote text"/>
    <w:basedOn w:val="Normal"/>
    <w:link w:val="FootnoteTextChar"/>
    <w:uiPriority w:val="99"/>
    <w:semiHidden/>
    <w:unhideWhenUsed/>
    <w:rsid w:val="00FC4F99"/>
    <w:rPr>
      <w:sz w:val="20"/>
      <w:szCs w:val="20"/>
    </w:rPr>
  </w:style>
  <w:style w:type="character" w:customStyle="1" w:styleId="FootnoteTextChar">
    <w:name w:val="Footnote Text Char"/>
    <w:basedOn w:val="DefaultParagraphFont"/>
    <w:link w:val="FootnoteText"/>
    <w:uiPriority w:val="99"/>
    <w:semiHidden/>
    <w:rsid w:val="00FC4F99"/>
    <w:rPr>
      <w:rFonts w:ascii="Tahoma" w:eastAsia="Tahoma" w:hAnsi="Tahoma" w:cs="Tahoma"/>
      <w:sz w:val="20"/>
      <w:szCs w:val="20"/>
    </w:rPr>
  </w:style>
  <w:style w:type="character" w:styleId="FootnoteReference">
    <w:name w:val="footnote reference"/>
    <w:basedOn w:val="DefaultParagraphFont"/>
    <w:uiPriority w:val="99"/>
    <w:semiHidden/>
    <w:unhideWhenUsed/>
    <w:rsid w:val="00FC4F99"/>
    <w:rPr>
      <w:vertAlign w:val="superscript"/>
    </w:rPr>
  </w:style>
  <w:style w:type="paragraph" w:styleId="Header">
    <w:name w:val="header"/>
    <w:basedOn w:val="Normal"/>
    <w:link w:val="HeaderChar"/>
    <w:uiPriority w:val="99"/>
    <w:unhideWhenUsed/>
    <w:rsid w:val="007A44E3"/>
    <w:pPr>
      <w:tabs>
        <w:tab w:val="center" w:pos="4680"/>
        <w:tab w:val="right" w:pos="9360"/>
      </w:tabs>
    </w:pPr>
  </w:style>
  <w:style w:type="character" w:customStyle="1" w:styleId="HeaderChar">
    <w:name w:val="Header Char"/>
    <w:basedOn w:val="DefaultParagraphFont"/>
    <w:link w:val="Header"/>
    <w:uiPriority w:val="99"/>
    <w:rsid w:val="007A44E3"/>
    <w:rPr>
      <w:rFonts w:ascii="Tahoma" w:eastAsia="Tahoma" w:hAnsi="Tahoma" w:cs="Tahoma"/>
    </w:rPr>
  </w:style>
  <w:style w:type="paragraph" w:styleId="Footer">
    <w:name w:val="footer"/>
    <w:basedOn w:val="Normal"/>
    <w:link w:val="FooterChar"/>
    <w:uiPriority w:val="99"/>
    <w:unhideWhenUsed/>
    <w:rsid w:val="007A44E3"/>
    <w:pPr>
      <w:tabs>
        <w:tab w:val="center" w:pos="4680"/>
        <w:tab w:val="right" w:pos="9360"/>
      </w:tabs>
    </w:pPr>
  </w:style>
  <w:style w:type="character" w:customStyle="1" w:styleId="FooterChar">
    <w:name w:val="Footer Char"/>
    <w:basedOn w:val="DefaultParagraphFont"/>
    <w:link w:val="Footer"/>
    <w:uiPriority w:val="99"/>
    <w:rsid w:val="007A44E3"/>
    <w:rPr>
      <w:rFonts w:ascii="Tahoma" w:eastAsia="Tahoma" w:hAnsi="Tahoma" w:cs="Tahoma"/>
    </w:rPr>
  </w:style>
  <w:style w:type="table" w:styleId="TableGrid">
    <w:name w:val="Table Grid"/>
    <w:basedOn w:val="TableNormal"/>
    <w:uiPriority w:val="39"/>
    <w:rsid w:val="00EC7C8B"/>
    <w:pPr>
      <w:widowControl/>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6C8"/>
    <w:rPr>
      <w:color w:val="0000FF" w:themeColor="hyperlink"/>
      <w:u w:val="single"/>
    </w:rPr>
  </w:style>
  <w:style w:type="character" w:styleId="UnresolvedMention">
    <w:name w:val="Unresolved Mention"/>
    <w:basedOn w:val="DefaultParagraphFont"/>
    <w:uiPriority w:val="99"/>
    <w:semiHidden/>
    <w:unhideWhenUsed/>
    <w:rsid w:val="00F83B3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C5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C2"/>
    <w:rPr>
      <w:rFonts w:ascii="Segoe UI" w:hAnsi="Segoe UI" w:cs="Segoe UI"/>
      <w:sz w:val="18"/>
      <w:szCs w:val="18"/>
    </w:rPr>
  </w:style>
  <w:style w:type="paragraph" w:styleId="Revision">
    <w:name w:val="Revision"/>
    <w:hidden/>
    <w:uiPriority w:val="99"/>
    <w:semiHidden/>
    <w:rsid w:val="003874DA"/>
    <w:pPr>
      <w:widowControl/>
    </w:pPr>
  </w:style>
  <w:style w:type="character" w:styleId="FollowedHyperlink">
    <w:name w:val="FollowedHyperlink"/>
    <w:basedOn w:val="DefaultParagraphFont"/>
    <w:uiPriority w:val="99"/>
    <w:semiHidden/>
    <w:unhideWhenUsed/>
    <w:rsid w:val="00D03276"/>
    <w:rPr>
      <w:color w:val="800080" w:themeColor="followedHyperlink"/>
      <w:u w:val="single"/>
    </w:rPr>
  </w:style>
  <w:style w:type="paragraph" w:customStyle="1" w:styleId="Default">
    <w:name w:val="Default"/>
    <w:rsid w:val="00E8733B"/>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sshousing.com/-/media/Files/Housing-Stability/Fair-Housing/RA_Handbook.ash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obinson@autisticadvocacy.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kye@justiceinagin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lie@thekelsey.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udoig.gov/reports-publications/report/hud-did-not-have-adequate-policies-and-procedures-ensuring-public" TargetMode="External"/><Relationship Id="rId13" Type="http://schemas.openxmlformats.org/officeDocument/2006/relationships/hyperlink" Target="https://www.hud.gov/sites/documents/FINALNUISANCEORDGDNCE.PDF" TargetMode="External"/><Relationship Id="rId3" Type="http://schemas.openxmlformats.org/officeDocument/2006/relationships/hyperlink" Target="https://www.prisonpolicy.org/blog/2023/08/02/aging/" TargetMode="External"/><Relationship Id="rId7" Type="http://schemas.openxmlformats.org/officeDocument/2006/relationships/hyperlink" Target="https://www.eeoc.gov/laws/guidance/enforcement-guidance-consideration-arrest-and-conviction-records-employment-decisions" TargetMode="External"/><Relationship Id="rId12" Type="http://schemas.openxmlformats.org/officeDocument/2006/relationships/hyperlink" Target="http://www.huduser.gov/portal/sites/default/files/pdf/MentalDisabilities-FinalPaper.pdf" TargetMode="External"/><Relationship Id="rId2" Type="http://schemas.openxmlformats.org/officeDocument/2006/relationships/hyperlink" Target="https://www.healthaffairs.org/doi/10.1377/hlthaff.2022.00495?url_ver=Z39.88-2003&amp;rfr_id=ori%3Arid%3Acrossref.org&amp;rfr_dat=cr_pub++0pubmed" TargetMode="External"/><Relationship Id="rId1" Type="http://schemas.openxmlformats.org/officeDocument/2006/relationships/hyperlink" Target="https://www.samhsa.gov/criminal-juvenile-justice/about" TargetMode="External"/><Relationship Id="rId6" Type="http://schemas.openxmlformats.org/officeDocument/2006/relationships/hyperlink" Target="https://www.vera.org/downloads/publications/Using-Compassionate-Release-to-Address-the-Growth-of-Aging-and-Infirm-Prison-Populations%E2%80%94Full-Report.pdf" TargetMode="External"/><Relationship Id="rId11" Type="http://schemas.openxmlformats.org/officeDocument/2006/relationships/hyperlink" Target="https://masshousing.com/-/media/Files/Housing-Stability/Fair-Housing/RA_Handbook.ashx" TargetMode="External"/><Relationship Id="rId5" Type="http://schemas.openxmlformats.org/officeDocument/2006/relationships/hyperlink" Target="at%20https:/www.bazelon.org/wp-content/uploads/2024/04/Amicus-brief-Grants-Pass-v-Johnson-4-3-2024.pdf" TargetMode="External"/><Relationship Id="rId10" Type="http://schemas.openxmlformats.org/officeDocument/2006/relationships/hyperlink" Target="https://www.irem.org/learning/publications-news/blog/irem-blogs/2021/04/how-to-overcome-high-employee-turnover-in-property-management" TargetMode="External"/><Relationship Id="rId4" Type="http://schemas.openxmlformats.org/officeDocument/2006/relationships/hyperlink" Target="https://bjs.ojp.gov/content/pub/pdf/drpspi16st.pdf" TargetMode="External"/><Relationship Id="rId9" Type="http://schemas.openxmlformats.org/officeDocument/2006/relationships/hyperlink" Target="https://www.c-c-d.org/fichiers/CCD-HTF-Letter-GAO-RA-Report-July-2023-FINAL.pdf" TargetMode="External"/><Relationship Id="rId14" Type="http://schemas.openxmlformats.org/officeDocument/2006/relationships/hyperlink" Target="https://www.justice.gov/crt/us-department-housing-and-urban-develop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MbiEcm2MJzZqKa/X5ZA+awUfw==">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6BD227-8A28-427F-81C5-1ECDFBF6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8</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Sloane</dc:creator>
  <cp:lastModifiedBy>Jennifer Kye</cp:lastModifiedBy>
  <cp:revision>140</cp:revision>
  <dcterms:created xsi:type="dcterms:W3CDTF">2024-06-05T00:18:00Z</dcterms:created>
  <dcterms:modified xsi:type="dcterms:W3CDTF">2024-06-10T21:16:00Z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m104 Google Docs Renderer</vt:lpwstr>
  </property>
</Properties>
</file>