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0180E" w:rsidRDefault="00000000">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March 15, 2024 </w:t>
      </w:r>
    </w:p>
    <w:p w14:paraId="00000002" w14:textId="77777777" w:rsidR="0060180E" w:rsidRDefault="00000000">
      <w:pPr>
        <w:widowControl w:val="0"/>
        <w:pBdr>
          <w:top w:val="nil"/>
          <w:left w:val="nil"/>
          <w:bottom w:val="nil"/>
          <w:right w:val="nil"/>
          <w:between w:val="nil"/>
        </w:pBdr>
        <w:spacing w:before="275" w:line="464" w:lineRule="auto"/>
        <w:ind w:left="3" w:right="2239" w:firstLine="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 Support H.R. 6860; the Restore Protections for Dialysis Patients Act </w:t>
      </w:r>
      <w:r>
        <w:rPr>
          <w:rFonts w:ascii="Times New Roman" w:eastAsia="Times New Roman" w:hAnsi="Times New Roman" w:cs="Times New Roman"/>
          <w:color w:val="000000"/>
          <w:sz w:val="24"/>
          <w:szCs w:val="24"/>
        </w:rPr>
        <w:t xml:space="preserve">Dear Representative: </w:t>
      </w:r>
    </w:p>
    <w:p w14:paraId="00000003" w14:textId="77777777" w:rsidR="0060180E" w:rsidRDefault="00000000">
      <w:pPr>
        <w:widowControl w:val="0"/>
        <w:pBdr>
          <w:top w:val="nil"/>
          <w:left w:val="nil"/>
          <w:bottom w:val="nil"/>
          <w:right w:val="nil"/>
          <w:between w:val="nil"/>
        </w:pBdr>
        <w:spacing w:before="51" w:line="229" w:lineRule="auto"/>
        <w:ind w:right="92" w:firstLine="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behalf of the undersigned organizations, we write to urge you to support H.R. 6860, the </w:t>
      </w:r>
      <w:r>
        <w:rPr>
          <w:rFonts w:ascii="Times New Roman" w:eastAsia="Times New Roman" w:hAnsi="Times New Roman" w:cs="Times New Roman"/>
          <w:i/>
          <w:color w:val="000000"/>
          <w:sz w:val="24"/>
          <w:szCs w:val="24"/>
        </w:rPr>
        <w:t>Restore  Protections for Dialysis Patients Act</w:t>
      </w:r>
      <w:r>
        <w:rPr>
          <w:rFonts w:ascii="Times New Roman" w:eastAsia="Times New Roman" w:hAnsi="Times New Roman" w:cs="Times New Roman"/>
          <w:color w:val="000000"/>
          <w:sz w:val="24"/>
          <w:szCs w:val="24"/>
        </w:rPr>
        <w:t xml:space="preserve">, introduced by Reps. Mike Kelly (R-PA), Yvette Clark (D NY), Danny Davis (D-IL), Neal Dunn (R-FL), John Joyce (R-PA), and Raul Ruiz (D-CA). This  bipartisan legislation would help restore long-standing health insurance protections for individuals  with end-stage renal disease (“ESRD”), a life-threatening condition that requires kidney dialysis at  least three times per week. Specifically, H.R. 6860 would restore the intent of the Medicare  Secondary Payer Act (“MSPA”) by (1) preventing employer group plans from prematurely forcing  such individuals on to the Medicare program, and (2) protecting such individuals from  discriminatory practices that single out renal dialysis patients for disfavored insurance treatment  compared to individuals with other conditions.  </w:t>
      </w:r>
    </w:p>
    <w:p w14:paraId="00000004" w14:textId="77777777" w:rsidR="0060180E" w:rsidRDefault="00000000">
      <w:pPr>
        <w:widowControl w:val="0"/>
        <w:pBdr>
          <w:top w:val="nil"/>
          <w:left w:val="nil"/>
          <w:bottom w:val="nil"/>
          <w:right w:val="nil"/>
          <w:between w:val="nil"/>
        </w:pBdr>
        <w:spacing w:before="285" w:line="229" w:lineRule="auto"/>
        <w:ind w:left="2" w:right="134" w:firstLine="1"/>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These discriminatory practices were illegal under the MSPA since 1981 until a recent Supreme  Court decision, known as the </w:t>
      </w:r>
      <w:r>
        <w:rPr>
          <w:rFonts w:ascii="Times New Roman" w:eastAsia="Times New Roman" w:hAnsi="Times New Roman" w:cs="Times New Roman"/>
          <w:i/>
          <w:color w:val="000000"/>
          <w:sz w:val="24"/>
          <w:szCs w:val="24"/>
        </w:rPr>
        <w:t xml:space="preserve">Marietta </w:t>
      </w:r>
      <w:r>
        <w:rPr>
          <w:rFonts w:ascii="Times New Roman" w:eastAsia="Times New Roman" w:hAnsi="Times New Roman" w:cs="Times New Roman"/>
          <w:color w:val="000000"/>
          <w:sz w:val="24"/>
          <w:szCs w:val="24"/>
        </w:rPr>
        <w:t xml:space="preserve">holding, opened a loophole that could prematurely force the  over 800,000 individuals with kidney failure off employer-sponsored health insurance and onto  Medicare, despite the intended protections of the MSPA. For these reasons, </w:t>
      </w:r>
      <w:r>
        <w:rPr>
          <w:rFonts w:ascii="Times New Roman" w:eastAsia="Times New Roman" w:hAnsi="Times New Roman" w:cs="Times New Roman"/>
          <w:i/>
          <w:color w:val="000000"/>
          <w:sz w:val="24"/>
          <w:szCs w:val="24"/>
        </w:rPr>
        <w:t xml:space="preserve">we ask you to  cosponsor this important bipartisan legislation, </w:t>
      </w:r>
      <w:r>
        <w:rPr>
          <w:rFonts w:ascii="Times New Roman" w:eastAsia="Times New Roman" w:hAnsi="Times New Roman" w:cs="Times New Roman"/>
          <w:color w:val="000000"/>
          <w:sz w:val="24"/>
          <w:szCs w:val="24"/>
        </w:rPr>
        <w:t xml:space="preserve">which is simply meant to return the protections of  the MSPA to the “status quo” before the </w:t>
      </w:r>
      <w:r>
        <w:rPr>
          <w:rFonts w:ascii="Times New Roman" w:eastAsia="Times New Roman" w:hAnsi="Times New Roman" w:cs="Times New Roman"/>
          <w:i/>
          <w:color w:val="000000"/>
          <w:sz w:val="24"/>
          <w:szCs w:val="24"/>
        </w:rPr>
        <w:t xml:space="preserve">Marietta </w:t>
      </w:r>
      <w:r>
        <w:rPr>
          <w:rFonts w:ascii="Times New Roman" w:eastAsia="Times New Roman" w:hAnsi="Times New Roman" w:cs="Times New Roman"/>
          <w:color w:val="000000"/>
          <w:sz w:val="24"/>
          <w:szCs w:val="24"/>
        </w:rPr>
        <w:t>decision</w:t>
      </w:r>
      <w:r>
        <w:rPr>
          <w:rFonts w:ascii="Times New Roman" w:eastAsia="Times New Roman" w:hAnsi="Times New Roman" w:cs="Times New Roman"/>
          <w:i/>
          <w:color w:val="000000"/>
          <w:sz w:val="24"/>
          <w:szCs w:val="24"/>
        </w:rPr>
        <w:t xml:space="preserve">.  </w:t>
      </w:r>
    </w:p>
    <w:p w14:paraId="00000005" w14:textId="77777777" w:rsidR="0060180E" w:rsidRDefault="00000000">
      <w:pPr>
        <w:widowControl w:val="0"/>
        <w:pBdr>
          <w:top w:val="nil"/>
          <w:left w:val="nil"/>
          <w:bottom w:val="nil"/>
          <w:right w:val="nil"/>
          <w:between w:val="nil"/>
        </w:pBdr>
        <w:spacing w:before="286" w:line="229" w:lineRule="auto"/>
        <w:ind w:left="1" w:right="5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undersigned organizations represent individuals with disabilities and chronic health conditions  as well as health professionals who are deeply concerned with how this loophole could negatively  impact access to care for individuals with kidney failure. The current interpretation of the MSPA  may have potential long-term implications on protecting access for all patients to high quality,  accessible and affordable health care. We are also concerned with how this decision to further  restrict access to kidney dialysis will exacerbate longstanding health inequities, given that people of  color disproportionately have kidney failure requiring dialysis to survive.  </w:t>
      </w:r>
    </w:p>
    <w:p w14:paraId="00000006" w14:textId="77777777" w:rsidR="0060180E" w:rsidRDefault="00000000">
      <w:pPr>
        <w:widowControl w:val="0"/>
        <w:pBdr>
          <w:top w:val="nil"/>
          <w:left w:val="nil"/>
          <w:bottom w:val="nil"/>
          <w:right w:val="nil"/>
          <w:between w:val="nil"/>
        </w:pBdr>
        <w:spacing w:before="286" w:line="229" w:lineRule="auto"/>
        <w:ind w:left="1"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MSPA has been in place for over 40 years to ensure that individuals who require kidney  dialysis have continued and full access to the health services they need. Because individuals with  ESRD are eligible for Medicare coverage below age 65, the MSPA was designed to ensure that  employers did not limit kidney dialysis benefits, effectively forcing dialysis patients onto Medicare  prematurely and off employer coverage. Without a legislative fix to reverse the impact of the  loophole created by the Supreme Court’s </w:t>
      </w:r>
      <w:r>
        <w:rPr>
          <w:rFonts w:ascii="Times New Roman" w:eastAsia="Times New Roman" w:hAnsi="Times New Roman" w:cs="Times New Roman"/>
          <w:i/>
          <w:color w:val="000000"/>
          <w:sz w:val="24"/>
          <w:szCs w:val="24"/>
        </w:rPr>
        <w:t xml:space="preserve">Marietta </w:t>
      </w:r>
      <w:r>
        <w:rPr>
          <w:rFonts w:ascii="Times New Roman" w:eastAsia="Times New Roman" w:hAnsi="Times New Roman" w:cs="Times New Roman"/>
          <w:color w:val="000000"/>
          <w:sz w:val="24"/>
          <w:szCs w:val="24"/>
        </w:rPr>
        <w:t xml:space="preserve">holding, employer-sponsored plans are now— and will continue to be—able to disregard the “anti-differentiation” requirement of the MSPA. This  will permit employer plans to openly discriminate in the dialysis benefits they provide to their  enrollees, which could severely limit access to care for people with kidney failure. This also upends  health insurance coverage for family members of those requiring dialysis covered by employer  plans.  </w:t>
      </w:r>
    </w:p>
    <w:p w14:paraId="00000007" w14:textId="77777777" w:rsidR="0060180E" w:rsidRDefault="00000000">
      <w:pPr>
        <w:widowControl w:val="0"/>
        <w:pBdr>
          <w:top w:val="nil"/>
          <w:left w:val="nil"/>
          <w:bottom w:val="nil"/>
          <w:right w:val="nil"/>
          <w:between w:val="nil"/>
        </w:pBdr>
        <w:spacing w:before="287" w:line="229" w:lineRule="auto"/>
        <w:ind w:left="1" w:right="225"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Because of this loophole, dialysis patients have already seen their insurance plans remove dialysis  center providers from their networks, redesignate all providers as “out of network,” and severely  restrict or “carve out” dialysis benefits altogether. In these situations, individuals with kidney  failure are essentially forced onto Medicare earlier than necessary. During this transition, many </w:t>
      </w:r>
    </w:p>
    <w:p w14:paraId="00000008" w14:textId="77777777" w:rsidR="0060180E" w:rsidRDefault="00000000">
      <w:pPr>
        <w:widowControl w:val="0"/>
        <w:pBdr>
          <w:top w:val="nil"/>
          <w:left w:val="nil"/>
          <w:bottom w:val="nil"/>
          <w:right w:val="nil"/>
          <w:between w:val="nil"/>
        </w:pBdr>
        <w:spacing w:before="118" w:line="240" w:lineRule="auto"/>
        <w:ind w:left="6"/>
        <w:rPr>
          <w:rFonts w:ascii="Calibri" w:eastAsia="Calibri" w:hAnsi="Calibri" w:cs="Calibri"/>
          <w:color w:val="000000"/>
          <w:sz w:val="15"/>
          <w:szCs w:val="15"/>
        </w:rPr>
      </w:pPr>
      <w:r>
        <w:rPr>
          <w:rFonts w:ascii="Calibri" w:eastAsia="Calibri" w:hAnsi="Calibri" w:cs="Calibri"/>
          <w:color w:val="000000"/>
          <w:sz w:val="15"/>
          <w:szCs w:val="15"/>
        </w:rPr>
        <w:t xml:space="preserve">{D1108558.DOCX / 1 } </w:t>
      </w:r>
    </w:p>
    <w:p w14:paraId="00000009" w14:textId="77777777" w:rsidR="0060180E" w:rsidRDefault="00000000">
      <w:pPr>
        <w:widowControl w:val="0"/>
        <w:pBdr>
          <w:top w:val="nil"/>
          <w:left w:val="nil"/>
          <w:bottom w:val="nil"/>
          <w:right w:val="nil"/>
          <w:between w:val="nil"/>
        </w:pBdr>
        <w:spacing w:line="229" w:lineRule="auto"/>
        <w:ind w:left="3" w:right="1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individuals with ESRD lose access to their primary dialysis provider, risk spending large amounts  of money out-of-pocket for their continued dialysis care, and no longer have the option of covering  their families under their employer-provided coverage. </w:t>
      </w:r>
    </w:p>
    <w:p w14:paraId="0000000A" w14:textId="77777777" w:rsidR="0060180E" w:rsidRDefault="00000000">
      <w:pPr>
        <w:widowControl w:val="0"/>
        <w:pBdr>
          <w:top w:val="nil"/>
          <w:left w:val="nil"/>
          <w:bottom w:val="nil"/>
          <w:right w:val="nil"/>
          <w:between w:val="nil"/>
        </w:pBdr>
        <w:spacing w:before="285" w:line="228" w:lineRule="auto"/>
        <w:ind w:left="1" w:right="204" w:firstLine="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t>
      </w:r>
      <w:r>
        <w:rPr>
          <w:rFonts w:ascii="Times New Roman" w:eastAsia="Times New Roman" w:hAnsi="Times New Roman" w:cs="Times New Roman"/>
          <w:i/>
          <w:color w:val="000000"/>
          <w:sz w:val="24"/>
          <w:szCs w:val="24"/>
        </w:rPr>
        <w:t xml:space="preserve">Restore Protections for Dialysis Patients Act </w:t>
      </w:r>
      <w:r>
        <w:rPr>
          <w:rFonts w:ascii="Times New Roman" w:eastAsia="Times New Roman" w:hAnsi="Times New Roman" w:cs="Times New Roman"/>
          <w:color w:val="000000"/>
          <w:sz w:val="24"/>
          <w:szCs w:val="24"/>
        </w:rPr>
        <w:t>would simply reestablish the anti-differentiation  provisions of the MSPA and close the loophole created by the Supreme Court’s recent ruling.  Discrimination in health insurance against individuals with one health condition should be  considered discrimination against all individuals with health conditions. For these reasons, we  strongly support this important bipartisan legislation to restore lifesaving and life-sustaining  protections for dialysis patients and urge Congress to move forward with its swift passage and  enactment in the second session of the 118</w:t>
      </w:r>
      <w:r>
        <w:rPr>
          <w:rFonts w:ascii="Times New Roman" w:eastAsia="Times New Roman" w:hAnsi="Times New Roman" w:cs="Times New Roman"/>
          <w:color w:val="000000"/>
          <w:sz w:val="26"/>
          <w:szCs w:val="26"/>
          <w:vertAlign w:val="superscript"/>
        </w:rPr>
        <w:t xml:space="preserve">th </w:t>
      </w:r>
      <w:r>
        <w:rPr>
          <w:rFonts w:ascii="Times New Roman" w:eastAsia="Times New Roman" w:hAnsi="Times New Roman" w:cs="Times New Roman"/>
          <w:color w:val="000000"/>
          <w:sz w:val="24"/>
          <w:szCs w:val="24"/>
        </w:rPr>
        <w:t xml:space="preserve">Congress.  </w:t>
      </w:r>
    </w:p>
    <w:p w14:paraId="0000000B" w14:textId="77777777" w:rsidR="0060180E" w:rsidRDefault="00000000">
      <w:pPr>
        <w:widowControl w:val="0"/>
        <w:pBdr>
          <w:top w:val="nil"/>
          <w:left w:val="nil"/>
          <w:bottom w:val="nil"/>
          <w:right w:val="nil"/>
          <w:between w:val="nil"/>
        </w:pBdr>
        <w:spacing w:before="286" w:line="240" w:lineRule="auto"/>
        <w:ind w:left="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Sincerely, </w:t>
      </w:r>
    </w:p>
    <w:p w14:paraId="0000000C" w14:textId="77777777" w:rsidR="0060180E" w:rsidRDefault="00000000">
      <w:pPr>
        <w:widowControl w:val="0"/>
        <w:pBdr>
          <w:top w:val="nil"/>
          <w:left w:val="nil"/>
          <w:bottom w:val="nil"/>
          <w:right w:val="nil"/>
          <w:between w:val="nil"/>
        </w:pBdr>
        <w:spacing w:before="288"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Access Ready </w:t>
      </w:r>
    </w:p>
    <w:p w14:paraId="0000000D"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ACCSES </w:t>
      </w:r>
    </w:p>
    <w:p w14:paraId="0000000E"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Association of Nurse Practitioners </w:t>
      </w:r>
    </w:p>
    <w:p w14:paraId="0000000F"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Diabetes Association  </w:t>
      </w:r>
    </w:p>
    <w:p w14:paraId="00000010" w14:textId="77777777" w:rsidR="0060180E" w:rsidRDefault="00000000">
      <w:pPr>
        <w:widowControl w:val="0"/>
        <w:pBdr>
          <w:top w:val="nil"/>
          <w:left w:val="nil"/>
          <w:bottom w:val="nil"/>
          <w:right w:val="nil"/>
          <w:between w:val="nil"/>
        </w:pBdr>
        <w:spacing w:before="31"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Medical Rehabilitation Providers  </w:t>
      </w:r>
    </w:p>
    <w:p w14:paraId="00000011" w14:textId="77777777" w:rsidR="0060180E"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Association </w:t>
      </w:r>
    </w:p>
    <w:p w14:paraId="00000012" w14:textId="77777777" w:rsidR="0060180E" w:rsidRDefault="00000000">
      <w:pPr>
        <w:widowControl w:val="0"/>
        <w:pBdr>
          <w:top w:val="nil"/>
          <w:left w:val="nil"/>
          <w:bottom w:val="nil"/>
          <w:right w:val="nil"/>
          <w:between w:val="nil"/>
        </w:pBdr>
        <w:spacing w:before="31"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Music Therapy Association </w:t>
      </w:r>
    </w:p>
    <w:p w14:paraId="00000013"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Nephrology Nurses Association </w:t>
      </w:r>
    </w:p>
    <w:p w14:paraId="00000014"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American Osteopathic Association  </w:t>
      </w:r>
    </w:p>
    <w:p w14:paraId="00000015"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Autistic Self Advocacy Network </w:t>
      </w:r>
    </w:p>
    <w:p w14:paraId="00000016" w14:textId="77777777" w:rsidR="0060180E" w:rsidRDefault="00000000">
      <w:pPr>
        <w:widowControl w:val="0"/>
        <w:pBdr>
          <w:top w:val="nil"/>
          <w:left w:val="nil"/>
          <w:bottom w:val="nil"/>
          <w:right w:val="nil"/>
          <w:between w:val="nil"/>
        </w:pBdr>
        <w:spacing w:before="7"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Autistic Women &amp; Nonbinary </w:t>
      </w:r>
      <w:proofErr w:type="spellStart"/>
      <w:r>
        <w:rPr>
          <w:rFonts w:ascii="Times New Roman" w:eastAsia="Times New Roman" w:hAnsi="Times New Roman" w:cs="Times New Roman"/>
          <w:color w:val="000000"/>
          <w:sz w:val="24"/>
          <w:szCs w:val="24"/>
        </w:rPr>
        <w:t>Nonbinary</w:t>
      </w:r>
      <w:proofErr w:type="spellEnd"/>
      <w:r>
        <w:rPr>
          <w:rFonts w:ascii="Times New Roman" w:eastAsia="Times New Roman" w:hAnsi="Times New Roman" w:cs="Times New Roman"/>
          <w:color w:val="000000"/>
          <w:sz w:val="24"/>
          <w:szCs w:val="24"/>
        </w:rPr>
        <w:t xml:space="preserve">  </w:t>
      </w:r>
    </w:p>
    <w:p w14:paraId="00000017" w14:textId="77777777" w:rsidR="0060180E"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Network </w:t>
      </w:r>
    </w:p>
    <w:p w14:paraId="00000018" w14:textId="77777777" w:rsidR="0060180E" w:rsidRDefault="00000000">
      <w:pPr>
        <w:widowControl w:val="0"/>
        <w:pBdr>
          <w:top w:val="nil"/>
          <w:left w:val="nil"/>
          <w:bottom w:val="nil"/>
          <w:right w:val="nil"/>
          <w:between w:val="nil"/>
        </w:pBdr>
        <w:spacing w:before="7"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Black Women’s Health Imperative </w:t>
      </w:r>
    </w:p>
    <w:p w14:paraId="00000019" w14:textId="77777777" w:rsidR="0060180E" w:rsidRDefault="00000000">
      <w:pPr>
        <w:widowControl w:val="0"/>
        <w:pBdr>
          <w:top w:val="nil"/>
          <w:left w:val="nil"/>
          <w:bottom w:val="nil"/>
          <w:right w:val="nil"/>
          <w:between w:val="nil"/>
        </w:pBdr>
        <w:spacing w:before="19"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Christopher &amp; Dana Reeve Foundation </w:t>
      </w:r>
    </w:p>
    <w:p w14:paraId="0000001A" w14:textId="77777777" w:rsidR="0060180E" w:rsidRDefault="00000000">
      <w:pPr>
        <w:widowControl w:val="0"/>
        <w:pBdr>
          <w:top w:val="nil"/>
          <w:left w:val="nil"/>
          <w:bottom w:val="nil"/>
          <w:right w:val="nil"/>
          <w:between w:val="nil"/>
        </w:pBdr>
        <w:spacing w:before="7"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Disability Rights Education and Defense  </w:t>
      </w:r>
    </w:p>
    <w:p w14:paraId="0000001B" w14:textId="77777777" w:rsidR="0060180E" w:rsidRDefault="00000000">
      <w:pPr>
        <w:widowControl w:val="0"/>
        <w:pBdr>
          <w:top w:val="nil"/>
          <w:left w:val="nil"/>
          <w:bottom w:val="nil"/>
          <w:right w:val="nil"/>
          <w:between w:val="nil"/>
        </w:pBdr>
        <w:spacing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Fund </w:t>
      </w:r>
    </w:p>
    <w:p w14:paraId="0000001C" w14:textId="77777777" w:rsidR="0060180E" w:rsidRDefault="00000000">
      <w:pPr>
        <w:widowControl w:val="0"/>
        <w:pBdr>
          <w:top w:val="nil"/>
          <w:left w:val="nil"/>
          <w:bottom w:val="nil"/>
          <w:right w:val="nil"/>
          <w:between w:val="nil"/>
        </w:pBdr>
        <w:spacing w:before="6"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Falling Forward Foundation </w:t>
      </w:r>
    </w:p>
    <w:p w14:paraId="0000001D" w14:textId="77777777" w:rsidR="0060180E" w:rsidRDefault="00000000">
      <w:pPr>
        <w:widowControl w:val="0"/>
        <w:pBdr>
          <w:top w:val="nil"/>
          <w:left w:val="nil"/>
          <w:bottom w:val="nil"/>
          <w:right w:val="nil"/>
          <w:between w:val="nil"/>
        </w:pBdr>
        <w:spacing w:before="19"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Family Voices </w:t>
      </w:r>
    </w:p>
    <w:p w14:paraId="0000001E" w14:textId="77777777" w:rsidR="0060180E" w:rsidRDefault="00000000">
      <w:pPr>
        <w:widowControl w:val="0"/>
        <w:pBdr>
          <w:top w:val="nil"/>
          <w:left w:val="nil"/>
          <w:bottom w:val="nil"/>
          <w:right w:val="nil"/>
          <w:between w:val="nil"/>
        </w:pBdr>
        <w:spacing w:before="19"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Hepatitis B Foundation </w:t>
      </w:r>
    </w:p>
    <w:p w14:paraId="0000001F" w14:textId="77777777" w:rsidR="0060180E" w:rsidRDefault="00000000">
      <w:pPr>
        <w:widowControl w:val="0"/>
        <w:pBdr>
          <w:top w:val="nil"/>
          <w:left w:val="nil"/>
          <w:bottom w:val="nil"/>
          <w:right w:val="nil"/>
          <w:between w:val="nil"/>
        </w:pBdr>
        <w:spacing w:before="19"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Justice in Aging </w:t>
      </w:r>
    </w:p>
    <w:p w14:paraId="00000020" w14:textId="77777777" w:rsidR="0060180E" w:rsidRDefault="00000000">
      <w:pPr>
        <w:widowControl w:val="0"/>
        <w:pBdr>
          <w:top w:val="nil"/>
          <w:left w:val="nil"/>
          <w:bottom w:val="nil"/>
          <w:right w:val="nil"/>
          <w:between w:val="nil"/>
        </w:pBdr>
        <w:spacing w:before="33"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Association for the Advancement of  </w:t>
      </w:r>
    </w:p>
    <w:p w14:paraId="00000021" w14:textId="77777777" w:rsidR="0060180E" w:rsidRDefault="00000000">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Orthotics &amp; Prosthetics </w:t>
      </w:r>
    </w:p>
    <w:p w14:paraId="00000022" w14:textId="77777777" w:rsidR="0060180E" w:rsidRDefault="00000000">
      <w:pPr>
        <w:widowControl w:val="0"/>
        <w:pBdr>
          <w:top w:val="nil"/>
          <w:left w:val="nil"/>
          <w:bottom w:val="nil"/>
          <w:right w:val="nil"/>
          <w:between w:val="nil"/>
        </w:pBdr>
        <w:spacing w:before="45"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Association of State Head Injury  </w:t>
      </w:r>
    </w:p>
    <w:p w14:paraId="00000023" w14:textId="77777777" w:rsidR="0060180E"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Administrators </w:t>
      </w:r>
    </w:p>
    <w:p w14:paraId="00000024" w14:textId="77777777" w:rsidR="0060180E" w:rsidRDefault="00000000">
      <w:pPr>
        <w:widowControl w:val="0"/>
        <w:pBdr>
          <w:top w:val="nil"/>
          <w:left w:val="nil"/>
          <w:bottom w:val="nil"/>
          <w:right w:val="nil"/>
          <w:between w:val="nil"/>
        </w:pBdr>
        <w:spacing w:before="45"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Council of Asian Pacific Islander  </w:t>
      </w:r>
    </w:p>
    <w:p w14:paraId="00000025" w14:textId="77777777" w:rsidR="0060180E" w:rsidRDefault="00000000">
      <w:pPr>
        <w:widowControl w:val="0"/>
        <w:pBdr>
          <w:top w:val="nil"/>
          <w:left w:val="nil"/>
          <w:bottom w:val="nil"/>
          <w:right w:val="nil"/>
          <w:between w:val="nil"/>
        </w:pBdr>
        <w:spacing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Physicians </w:t>
      </w:r>
    </w:p>
    <w:p w14:paraId="00000026" w14:textId="77777777" w:rsidR="0060180E" w:rsidRDefault="00000000">
      <w:pPr>
        <w:widowControl w:val="0"/>
        <w:pBdr>
          <w:top w:val="nil"/>
          <w:left w:val="nil"/>
          <w:bottom w:val="nil"/>
          <w:right w:val="nil"/>
          <w:between w:val="nil"/>
        </w:pBdr>
        <w:spacing w:before="31"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Disability Rights Network </w:t>
      </w:r>
    </w:p>
    <w:p w14:paraId="00000027" w14:textId="77777777" w:rsidR="0060180E" w:rsidRDefault="00000000">
      <w:pPr>
        <w:widowControl w:val="0"/>
        <w:pBdr>
          <w:top w:val="nil"/>
          <w:left w:val="nil"/>
          <w:bottom w:val="nil"/>
          <w:right w:val="nil"/>
          <w:between w:val="nil"/>
        </w:pBdr>
        <w:spacing w:before="19"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Health Law Program </w:t>
      </w:r>
    </w:p>
    <w:p w14:paraId="00000028" w14:textId="77777777" w:rsidR="0060180E" w:rsidRDefault="00000000">
      <w:pPr>
        <w:widowControl w:val="0"/>
        <w:pBdr>
          <w:top w:val="nil"/>
          <w:left w:val="nil"/>
          <w:bottom w:val="nil"/>
          <w:right w:val="nil"/>
          <w:between w:val="nil"/>
        </w:pBdr>
        <w:spacing w:before="19" w:line="240" w:lineRule="auto"/>
        <w:ind w:left="1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National Minority Health Association </w:t>
      </w:r>
    </w:p>
    <w:p w14:paraId="00000029" w14:textId="77777777" w:rsidR="0060180E" w:rsidRDefault="00000000">
      <w:pPr>
        <w:widowControl w:val="0"/>
        <w:pBdr>
          <w:top w:val="nil"/>
          <w:left w:val="nil"/>
          <w:bottom w:val="nil"/>
          <w:right w:val="nil"/>
          <w:between w:val="nil"/>
        </w:pBdr>
        <w:spacing w:before="19"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Renal Physicians Association  </w:t>
      </w:r>
    </w:p>
    <w:p w14:paraId="0000002A" w14:textId="77777777" w:rsidR="0060180E" w:rsidRDefault="00000000">
      <w:pPr>
        <w:widowControl w:val="0"/>
        <w:pBdr>
          <w:top w:val="nil"/>
          <w:left w:val="nil"/>
          <w:bottom w:val="nil"/>
          <w:right w:val="nil"/>
          <w:between w:val="nil"/>
        </w:pBdr>
        <w:spacing w:before="2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RESNA </w:t>
      </w:r>
    </w:p>
    <w:p w14:paraId="0000002B" w14:textId="77777777" w:rsidR="0060180E" w:rsidRDefault="00000000">
      <w:pPr>
        <w:widowControl w:val="0"/>
        <w:pBdr>
          <w:top w:val="nil"/>
          <w:left w:val="nil"/>
          <w:bottom w:val="nil"/>
          <w:right w:val="nil"/>
          <w:between w:val="nil"/>
        </w:pBdr>
        <w:spacing w:before="19" w:line="240" w:lineRule="auto"/>
        <w:ind w:left="1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United Cerebral Palsy</w:t>
      </w:r>
    </w:p>
    <w:p w14:paraId="0000002C" w14:textId="77777777" w:rsidR="0060180E" w:rsidRDefault="00000000">
      <w:pPr>
        <w:widowControl w:val="0"/>
        <w:pBdr>
          <w:top w:val="nil"/>
          <w:left w:val="nil"/>
          <w:bottom w:val="nil"/>
          <w:right w:val="nil"/>
          <w:between w:val="nil"/>
        </w:pBdr>
        <w:spacing w:before="573" w:line="240" w:lineRule="auto"/>
        <w:ind w:left="6"/>
        <w:rPr>
          <w:rFonts w:ascii="Calibri" w:eastAsia="Calibri" w:hAnsi="Calibri" w:cs="Calibri"/>
          <w:color w:val="000000"/>
          <w:sz w:val="15"/>
          <w:szCs w:val="15"/>
        </w:rPr>
      </w:pPr>
      <w:r>
        <w:rPr>
          <w:rFonts w:ascii="Calibri" w:eastAsia="Calibri" w:hAnsi="Calibri" w:cs="Calibri"/>
          <w:color w:val="000000"/>
          <w:sz w:val="15"/>
          <w:szCs w:val="15"/>
        </w:rPr>
        <w:t xml:space="preserve">{D1108558.DOCX / 1 } </w:t>
      </w:r>
    </w:p>
    <w:sectPr w:rsidR="0060180E">
      <w:pgSz w:w="12240" w:h="15840"/>
      <w:pgMar w:top="973" w:right="1246" w:bottom="761" w:left="129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80E"/>
    <w:rsid w:val="0060180E"/>
    <w:rsid w:val="00C91FD1"/>
    <w:rsid w:val="00E72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63361-E105-46C7-8F13-7178A3C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H.R. 6860; the Restore Protections for Dialysis Patients Act</dc:title>
  <dc:creator>Aaron Di Blasi</dc:creator>
  <cp:lastModifiedBy>Aaron Di Blasi</cp:lastModifiedBy>
  <cp:revision>2</cp:revision>
  <cp:lastPrinted>2024-06-04T00:57:00Z</cp:lastPrinted>
  <dcterms:created xsi:type="dcterms:W3CDTF">2024-06-04T00:56:00Z</dcterms:created>
  <dcterms:modified xsi:type="dcterms:W3CDTF">2024-06-04T00:57:00Z</dcterms:modified>
</cp:coreProperties>
</file>