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22"/>
        <w:rPr>
          <w:rFonts w:ascii="Times New Roman"/>
          <w:sz w:val="20"/>
        </w:rPr>
      </w:pPr>
      <w:r>
        <w:rPr>
          <w:rFonts w:ascii="Times New Roman"/>
          <w:sz w:val="20"/>
        </w:rPr>
        <w:drawing>
          <wp:inline distT="0" distB="0" distL="0" distR="0">
            <wp:extent cx="2636469" cy="1230153"/>
            <wp:effectExtent l="0" t="0" r="0" b="0"/>
            <wp:docPr id="1" name="Image 1" descr="White letters spelling &quot;CCD&quot; on green background. Underneath are the words  &quot;Consortium for Constituents with Disabilities. "/>
            <wp:cNvGraphicFramePr>
              <a:graphicFrameLocks/>
            </wp:cNvGraphicFramePr>
            <a:graphic>
              <a:graphicData uri="http://schemas.openxmlformats.org/drawingml/2006/picture">
                <pic:pic>
                  <pic:nvPicPr>
                    <pic:cNvPr id="1" name="Image 1" descr="White letters spelling &quot;CCD&quot; on green background. Underneath are the words  &quot;Consortium for Constituents with Disabilities. "/>
                    <pic:cNvPicPr/>
                  </pic:nvPicPr>
                  <pic:blipFill>
                    <a:blip r:embed="rId5" cstate="print"/>
                    <a:stretch>
                      <a:fillRect/>
                    </a:stretch>
                  </pic:blipFill>
                  <pic:spPr>
                    <a:xfrm>
                      <a:off x="0" y="0"/>
                      <a:ext cx="2636469" cy="1230153"/>
                    </a:xfrm>
                    <a:prstGeom prst="rect">
                      <a:avLst/>
                    </a:prstGeom>
                  </pic:spPr>
                </pic:pic>
              </a:graphicData>
            </a:graphic>
          </wp:inline>
        </w:drawing>
      </w:r>
      <w:r>
        <w:rPr>
          <w:rFonts w:ascii="Times New Roman"/>
          <w:sz w:val="20"/>
        </w:rPr>
      </w:r>
    </w:p>
    <w:p>
      <w:pPr>
        <w:pStyle w:val="BodyText"/>
        <w:spacing w:before="18"/>
        <w:ind w:left="0"/>
        <w:rPr>
          <w:rFonts w:ascii="Times New Roman"/>
        </w:rPr>
      </w:pPr>
    </w:p>
    <w:p>
      <w:pPr>
        <w:pStyle w:val="BodyText"/>
      </w:pPr>
      <w:r>
        <w:rPr/>
        <mc:AlternateContent>
          <mc:Choice Requires="wps">
            <w:drawing>
              <wp:anchor distT="0" distB="0" distL="0" distR="0" allowOverlap="1" layoutInCell="1" locked="0" behindDoc="0" simplePos="0" relativeHeight="15728640">
                <wp:simplePos x="0" y="0"/>
                <wp:positionH relativeFrom="page">
                  <wp:posOffset>377327</wp:posOffset>
                </wp:positionH>
                <wp:positionV relativeFrom="paragraph">
                  <wp:posOffset>79127</wp:posOffset>
                </wp:positionV>
                <wp:extent cx="150495" cy="1187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0495" cy="118745"/>
                        </a:xfrm>
                        <a:custGeom>
                          <a:avLst/>
                          <a:gdLst/>
                          <a:ahLst/>
                          <a:cxnLst/>
                          <a:rect l="l" t="t" r="r" b="b"/>
                          <a:pathLst>
                            <a:path w="150495" h="118745">
                              <a:moveTo>
                                <a:pt x="75241" y="0"/>
                              </a:moveTo>
                              <a:lnTo>
                                <a:pt x="74065" y="43414"/>
                              </a:lnTo>
                              <a:lnTo>
                                <a:pt x="65836" y="81286"/>
                              </a:lnTo>
                              <a:lnTo>
                                <a:pt x="43498" y="108073"/>
                              </a:lnTo>
                              <a:lnTo>
                                <a:pt x="0" y="118234"/>
                              </a:lnTo>
                              <a:lnTo>
                                <a:pt x="150481" y="118234"/>
                              </a:lnTo>
                              <a:lnTo>
                                <a:pt x="106982" y="108073"/>
                              </a:lnTo>
                              <a:lnTo>
                                <a:pt x="84646" y="81286"/>
                              </a:lnTo>
                              <a:lnTo>
                                <a:pt x="76416" y="43414"/>
                              </a:lnTo>
                              <a:lnTo>
                                <a:pt x="7524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style="position:absolute;margin-left:29.710846pt;margin-top:6.230532pt;width:11.85pt;height:9.35pt;mso-position-horizontal-relative:page;mso-position-vertical-relative:paragraph;z-index:15728640" id="docshape1" coordorigin="594,125" coordsize="237,187" path="m713,125l711,193,698,253,663,295,594,311,831,311,763,295,728,253,715,193,713,125xe" filled="true" fillcolor="#0000ff" stroked="false">
                <v:path arrowok="t"/>
                <v:fill type="solid"/>
                <w10:wrap type="none"/>
              </v:shape>
            </w:pict>
          </mc:Fallback>
        </mc:AlternateContent>
      </w:r>
      <w:r>
        <w:rPr/>
        <w:t>May</w:t>
      </w:r>
      <w:r>
        <w:rPr>
          <w:spacing w:val="-3"/>
        </w:rPr>
        <w:t> </w:t>
      </w:r>
      <w:r>
        <w:rPr/>
        <w:t>6,</w:t>
      </w:r>
      <w:r>
        <w:rPr>
          <w:spacing w:val="1"/>
        </w:rPr>
        <w:t> </w:t>
      </w:r>
      <w:r>
        <w:rPr>
          <w:spacing w:val="-4"/>
        </w:rPr>
        <w:t>2024</w:t>
      </w:r>
    </w:p>
    <w:p>
      <w:pPr>
        <w:pStyle w:val="BodyText"/>
        <w:ind w:left="0"/>
        <w:rPr>
          <w:sz w:val="16"/>
        </w:rPr>
      </w:pPr>
    </w:p>
    <w:p>
      <w:pPr>
        <w:spacing w:after="0"/>
        <w:rPr>
          <w:sz w:val="16"/>
        </w:rPr>
        <w:sectPr>
          <w:type w:val="continuous"/>
          <w:pgSz w:w="12240" w:h="15840"/>
          <w:pgMar w:top="1680" w:bottom="280" w:left="600" w:right="620"/>
        </w:sectPr>
      </w:pPr>
    </w:p>
    <w:p>
      <w:pPr>
        <w:pStyle w:val="BodyText"/>
        <w:spacing w:before="92"/>
      </w:pPr>
      <w:r>
        <w:rPr/>
        <w:t>The</w:t>
      </w:r>
      <w:r>
        <w:rPr>
          <w:spacing w:val="-11"/>
        </w:rPr>
        <w:t> </w:t>
      </w:r>
      <w:r>
        <w:rPr/>
        <w:t>Honorable</w:t>
      </w:r>
      <w:r>
        <w:rPr>
          <w:spacing w:val="-12"/>
        </w:rPr>
        <w:t> </w:t>
      </w:r>
      <w:r>
        <w:rPr/>
        <w:t>Tammy</w:t>
      </w:r>
      <w:r>
        <w:rPr>
          <w:spacing w:val="-13"/>
        </w:rPr>
        <w:t> </w:t>
      </w:r>
      <w:r>
        <w:rPr/>
        <w:t>Baldwin </w:t>
      </w:r>
      <w:r>
        <w:rPr>
          <w:spacing w:val="-4"/>
        </w:rPr>
        <w:t>Chair</w:t>
      </w:r>
    </w:p>
    <w:p>
      <w:pPr>
        <w:pStyle w:val="BodyText"/>
      </w:pPr>
      <w:r>
        <w:rPr/>
        <w:t>Labor,</w:t>
      </w:r>
      <w:r>
        <w:rPr>
          <w:spacing w:val="-8"/>
        </w:rPr>
        <w:t> </w:t>
      </w:r>
      <w:r>
        <w:rPr/>
        <w:t>Health</w:t>
      </w:r>
      <w:r>
        <w:rPr>
          <w:spacing w:val="-8"/>
        </w:rPr>
        <w:t> </w:t>
      </w:r>
      <w:r>
        <w:rPr/>
        <w:t>and</w:t>
      </w:r>
      <w:r>
        <w:rPr>
          <w:spacing w:val="-8"/>
        </w:rPr>
        <w:t> </w:t>
      </w:r>
      <w:r>
        <w:rPr/>
        <w:t>Human</w:t>
      </w:r>
      <w:r>
        <w:rPr>
          <w:spacing w:val="-10"/>
        </w:rPr>
        <w:t> </w:t>
      </w:r>
      <w:r>
        <w:rPr/>
        <w:t>Services, Education, and Related Agencies Appropriations Subcommittee</w:t>
      </w:r>
    </w:p>
    <w:p>
      <w:pPr>
        <w:pStyle w:val="BodyText"/>
      </w:pPr>
      <w:r>
        <w:rPr/>
        <w:t>135</w:t>
      </w:r>
      <w:r>
        <w:rPr>
          <w:spacing w:val="-8"/>
        </w:rPr>
        <w:t> </w:t>
      </w:r>
      <w:r>
        <w:rPr/>
        <w:t>Dirksen</w:t>
      </w:r>
      <w:r>
        <w:rPr>
          <w:spacing w:val="-10"/>
        </w:rPr>
        <w:t> </w:t>
      </w:r>
      <w:r>
        <w:rPr/>
        <w:t>Senator</w:t>
      </w:r>
      <w:r>
        <w:rPr>
          <w:spacing w:val="-10"/>
        </w:rPr>
        <w:t> </w:t>
      </w:r>
      <w:r>
        <w:rPr/>
        <w:t>Office</w:t>
      </w:r>
      <w:r>
        <w:rPr>
          <w:spacing w:val="-8"/>
        </w:rPr>
        <w:t> </w:t>
      </w:r>
      <w:r>
        <w:rPr/>
        <w:t>Building Washington, DC 20510</w:t>
      </w:r>
    </w:p>
    <w:p>
      <w:pPr>
        <w:pStyle w:val="BodyText"/>
        <w:spacing w:before="92"/>
        <w:ind w:right="1089"/>
      </w:pPr>
      <w:r>
        <w:rPr/>
        <w:br w:type="column"/>
      </w:r>
      <w:r>
        <w:rPr/>
        <w:t>The</w:t>
      </w:r>
      <w:r>
        <w:rPr>
          <w:spacing w:val="-9"/>
        </w:rPr>
        <w:t> </w:t>
      </w:r>
      <w:r>
        <w:rPr/>
        <w:t>Honorable</w:t>
      </w:r>
      <w:r>
        <w:rPr>
          <w:spacing w:val="-10"/>
        </w:rPr>
        <w:t> </w:t>
      </w:r>
      <w:r>
        <w:rPr/>
        <w:t>Shelley</w:t>
      </w:r>
      <w:r>
        <w:rPr>
          <w:spacing w:val="-11"/>
        </w:rPr>
        <w:t> </w:t>
      </w:r>
      <w:r>
        <w:rPr/>
        <w:t>Moore</w:t>
      </w:r>
      <w:r>
        <w:rPr>
          <w:spacing w:val="-9"/>
        </w:rPr>
        <w:t> </w:t>
      </w:r>
      <w:r>
        <w:rPr/>
        <w:t>Capito Ranking Member</w:t>
      </w:r>
    </w:p>
    <w:p>
      <w:pPr>
        <w:pStyle w:val="BodyText"/>
        <w:ind w:right="1089"/>
      </w:pPr>
      <w:r>
        <w:rPr/>
        <w:t>Labor,</w:t>
      </w:r>
      <w:r>
        <w:rPr>
          <w:spacing w:val="-9"/>
        </w:rPr>
        <w:t> </w:t>
      </w:r>
      <w:r>
        <w:rPr/>
        <w:t>Health</w:t>
      </w:r>
      <w:r>
        <w:rPr>
          <w:spacing w:val="-9"/>
        </w:rPr>
        <w:t> </w:t>
      </w:r>
      <w:r>
        <w:rPr/>
        <w:t>and</w:t>
      </w:r>
      <w:r>
        <w:rPr>
          <w:spacing w:val="-9"/>
        </w:rPr>
        <w:t> </w:t>
      </w:r>
      <w:r>
        <w:rPr/>
        <w:t>Human</w:t>
      </w:r>
      <w:r>
        <w:rPr>
          <w:spacing w:val="-11"/>
        </w:rPr>
        <w:t> </w:t>
      </w:r>
      <w:r>
        <w:rPr/>
        <w:t>Services, Education, and Related Agencies Appropriations Subcommittee</w:t>
      </w:r>
    </w:p>
    <w:p>
      <w:pPr>
        <w:pStyle w:val="BodyText"/>
        <w:ind w:right="1089"/>
      </w:pPr>
      <w:r>
        <w:rPr/>
        <w:t>156</w:t>
      </w:r>
      <w:r>
        <w:rPr>
          <w:spacing w:val="-9"/>
        </w:rPr>
        <w:t> </w:t>
      </w:r>
      <w:r>
        <w:rPr/>
        <w:t>Dirksen</w:t>
      </w:r>
      <w:r>
        <w:rPr>
          <w:spacing w:val="-11"/>
        </w:rPr>
        <w:t> </w:t>
      </w:r>
      <w:r>
        <w:rPr/>
        <w:t>Senate</w:t>
      </w:r>
      <w:r>
        <w:rPr>
          <w:spacing w:val="-9"/>
        </w:rPr>
        <w:t> </w:t>
      </w:r>
      <w:r>
        <w:rPr/>
        <w:t>Office</w:t>
      </w:r>
      <w:r>
        <w:rPr>
          <w:spacing w:val="-9"/>
        </w:rPr>
        <w:t> </w:t>
      </w:r>
      <w:r>
        <w:rPr/>
        <w:t>Building Washington, DC 20510</w:t>
      </w:r>
    </w:p>
    <w:p>
      <w:pPr>
        <w:spacing w:after="0"/>
        <w:sectPr>
          <w:type w:val="continuous"/>
          <w:pgSz w:w="12240" w:h="15840"/>
          <w:pgMar w:top="1680" w:bottom="280" w:left="600" w:right="620"/>
          <w:cols w:num="2" w:equalWidth="0">
            <w:col w:w="3967" w:space="1073"/>
            <w:col w:w="5980"/>
          </w:cols>
        </w:sectPr>
      </w:pPr>
    </w:p>
    <w:p>
      <w:pPr>
        <w:pStyle w:val="BodyText"/>
        <w:ind w:left="0"/>
      </w:pPr>
    </w:p>
    <w:p>
      <w:pPr>
        <w:pStyle w:val="BodyText"/>
      </w:pPr>
      <w:r>
        <w:rPr/>
        <w:t>Dear</w:t>
      </w:r>
      <w:r>
        <w:rPr>
          <w:spacing w:val="-6"/>
        </w:rPr>
        <w:t> </w:t>
      </w:r>
      <w:r>
        <w:rPr/>
        <w:t>Chair</w:t>
      </w:r>
      <w:r>
        <w:rPr>
          <w:spacing w:val="-4"/>
        </w:rPr>
        <w:t> </w:t>
      </w:r>
      <w:r>
        <w:rPr/>
        <w:t>Baldwin</w:t>
      </w:r>
      <w:r>
        <w:rPr>
          <w:spacing w:val="-2"/>
        </w:rPr>
        <w:t> </w:t>
      </w:r>
      <w:r>
        <w:rPr/>
        <w:t>and</w:t>
      </w:r>
      <w:r>
        <w:rPr>
          <w:spacing w:val="-2"/>
        </w:rPr>
        <w:t> </w:t>
      </w:r>
      <w:r>
        <w:rPr/>
        <w:t>Ranking</w:t>
      </w:r>
      <w:r>
        <w:rPr>
          <w:spacing w:val="-3"/>
        </w:rPr>
        <w:t> </w:t>
      </w:r>
      <w:r>
        <w:rPr/>
        <w:t>Member</w:t>
      </w:r>
      <w:r>
        <w:rPr>
          <w:spacing w:val="-3"/>
        </w:rPr>
        <w:t> </w:t>
      </w:r>
      <w:r>
        <w:rPr/>
        <w:t>Moore</w:t>
      </w:r>
      <w:r>
        <w:rPr>
          <w:spacing w:val="-2"/>
        </w:rPr>
        <w:t> Capito:</w:t>
      </w:r>
    </w:p>
    <w:p>
      <w:pPr>
        <w:pStyle w:val="BodyText"/>
        <w:ind w:left="0"/>
      </w:pPr>
    </w:p>
    <w:p>
      <w:pPr>
        <w:pStyle w:val="BodyText"/>
        <w:ind w:right="76"/>
      </w:pPr>
      <w:r>
        <w:rPr/>
        <w:t>On behalf of the Consortium for Constituents with Disabilities Technology and Telecommunications Task Force, the undersigned organizations are writing to ask for your support for the inclusion of $42 million in the Fiscal Year (FY) 2025 Senate Labor, Health and Human Services and Education Appropriations (LHHS) bill for the Assistive Technology (AT) Act Programs.</w:t>
      </w:r>
      <w:r>
        <w:rPr>
          <w:spacing w:val="40"/>
        </w:rPr>
        <w:t> </w:t>
      </w:r>
      <w:r>
        <w:rPr/>
        <w:t>Further, we respectfully request instructions be included to eliminate the following language from the Labor, Health, and Human</w:t>
      </w:r>
      <w:r>
        <w:rPr>
          <w:spacing w:val="-2"/>
        </w:rPr>
        <w:t> </w:t>
      </w:r>
      <w:r>
        <w:rPr/>
        <w:t>Services</w:t>
      </w:r>
      <w:r>
        <w:rPr>
          <w:spacing w:val="-3"/>
        </w:rPr>
        <w:t> </w:t>
      </w:r>
      <w:r>
        <w:rPr/>
        <w:t>Appropriations</w:t>
      </w:r>
      <w:r>
        <w:rPr>
          <w:spacing w:val="-5"/>
        </w:rPr>
        <w:t> </w:t>
      </w:r>
      <w:r>
        <w:rPr/>
        <w:t>Act</w:t>
      </w:r>
      <w:r>
        <w:rPr>
          <w:spacing w:val="-2"/>
        </w:rPr>
        <w:t> </w:t>
      </w:r>
      <w:r>
        <w:rPr/>
        <w:t>(AT</w:t>
      </w:r>
      <w:r>
        <w:rPr>
          <w:spacing w:val="-6"/>
        </w:rPr>
        <w:t> </w:t>
      </w:r>
      <w:r>
        <w:rPr/>
        <w:t>Act)</w:t>
      </w:r>
      <w:r>
        <w:rPr>
          <w:spacing w:val="-6"/>
        </w:rPr>
        <w:t> </w:t>
      </w:r>
      <w:r>
        <w:rPr/>
        <w:t>that</w:t>
      </w:r>
      <w:r>
        <w:rPr>
          <w:spacing w:val="-5"/>
        </w:rPr>
        <w:t> </w:t>
      </w:r>
      <w:r>
        <w:rPr/>
        <w:t>states</w:t>
      </w:r>
      <w:r>
        <w:rPr>
          <w:spacing w:val="-3"/>
        </w:rPr>
        <w:t> </w:t>
      </w:r>
      <w:r>
        <w:rPr/>
        <w:t>“provide</w:t>
      </w:r>
      <w:r>
        <w:rPr>
          <w:spacing w:val="-2"/>
        </w:rPr>
        <w:t> </w:t>
      </w:r>
      <w:r>
        <w:rPr/>
        <w:t>$2,000,000</w:t>
      </w:r>
      <w:r>
        <w:rPr>
          <w:spacing w:val="-2"/>
        </w:rPr>
        <w:t> </w:t>
      </w:r>
      <w:r>
        <w:rPr/>
        <w:t>for</w:t>
      </w:r>
      <w:r>
        <w:rPr>
          <w:spacing w:val="-4"/>
        </w:rPr>
        <w:t> </w:t>
      </w:r>
      <w:r>
        <w:rPr/>
        <w:t>competitive</w:t>
      </w:r>
      <w:r>
        <w:rPr>
          <w:spacing w:val="-2"/>
        </w:rPr>
        <w:t> </w:t>
      </w:r>
      <w:r>
        <w:rPr/>
        <w:t>grants</w:t>
      </w:r>
      <w:r>
        <w:rPr>
          <w:spacing w:val="-3"/>
        </w:rPr>
        <w:t> </w:t>
      </w:r>
      <w:r>
        <w:rPr/>
        <w:t>to support</w:t>
      </w:r>
      <w:r>
        <w:rPr>
          <w:spacing w:val="-1"/>
        </w:rPr>
        <w:t> </w:t>
      </w:r>
      <w:r>
        <w:rPr/>
        <w:t>existing</w:t>
      </w:r>
      <w:r>
        <w:rPr>
          <w:spacing w:val="-1"/>
        </w:rPr>
        <w:t> </w:t>
      </w:r>
      <w:r>
        <w:rPr/>
        <w:t>and</w:t>
      </w:r>
      <w:r>
        <w:rPr>
          <w:spacing w:val="-3"/>
        </w:rPr>
        <w:t> </w:t>
      </w:r>
      <w:r>
        <w:rPr/>
        <w:t>new</w:t>
      </w:r>
      <w:r>
        <w:rPr>
          <w:spacing w:val="-3"/>
        </w:rPr>
        <w:t> </w:t>
      </w:r>
      <w:r>
        <w:rPr/>
        <w:t>alternative</w:t>
      </w:r>
      <w:r>
        <w:rPr>
          <w:spacing w:val="-1"/>
        </w:rPr>
        <w:t> </w:t>
      </w:r>
      <w:r>
        <w:rPr/>
        <w:t>financing</w:t>
      </w:r>
      <w:r>
        <w:rPr>
          <w:spacing w:val="-1"/>
        </w:rPr>
        <w:t> </w:t>
      </w:r>
      <w:r>
        <w:rPr/>
        <w:t>programs</w:t>
      </w:r>
      <w:r>
        <w:rPr>
          <w:spacing w:val="-4"/>
        </w:rPr>
        <w:t> </w:t>
      </w:r>
      <w:r>
        <w:rPr/>
        <w:t>that</w:t>
      </w:r>
      <w:r>
        <w:rPr>
          <w:spacing w:val="-1"/>
        </w:rPr>
        <w:t> </w:t>
      </w:r>
      <w:r>
        <w:rPr/>
        <w:t>provide</w:t>
      </w:r>
      <w:r>
        <w:rPr>
          <w:spacing w:val="-1"/>
        </w:rPr>
        <w:t> </w:t>
      </w:r>
      <w:r>
        <w:rPr/>
        <w:t>for</w:t>
      </w:r>
      <w:r>
        <w:rPr>
          <w:spacing w:val="-3"/>
        </w:rPr>
        <w:t> </w:t>
      </w:r>
      <w:r>
        <w:rPr/>
        <w:t>the</w:t>
      </w:r>
      <w:r>
        <w:rPr>
          <w:spacing w:val="-3"/>
        </w:rPr>
        <w:t> </w:t>
      </w:r>
      <w:r>
        <w:rPr/>
        <w:t>purchase</w:t>
      </w:r>
      <w:r>
        <w:rPr>
          <w:spacing w:val="-1"/>
        </w:rPr>
        <w:t> </w:t>
      </w:r>
      <w:r>
        <w:rPr/>
        <w:t>of</w:t>
      </w:r>
      <w:r>
        <w:rPr>
          <w:spacing w:val="-1"/>
        </w:rPr>
        <w:t> </w:t>
      </w:r>
      <w:r>
        <w:rPr/>
        <w:t>AT</w:t>
      </w:r>
      <w:r>
        <w:rPr>
          <w:spacing w:val="-2"/>
        </w:rPr>
        <w:t> </w:t>
      </w:r>
      <w:r>
        <w:rPr/>
        <w:t>devices.” With this change, we further request that the available $2 million be allocated directly to the AT Act (which contributes to the increased total requested of $42 million).</w:t>
      </w:r>
    </w:p>
    <w:p>
      <w:pPr>
        <w:pStyle w:val="BodyText"/>
        <w:spacing w:before="1"/>
        <w:ind w:left="0"/>
      </w:pPr>
    </w:p>
    <w:p>
      <w:pPr>
        <w:pStyle w:val="BodyText"/>
      </w:pPr>
      <w:r>
        <w:rPr/>
        <w:t>Funding provided through the AT Act supports programs that ensure people with disabilities have access</w:t>
      </w:r>
      <w:r>
        <w:rPr>
          <w:spacing w:val="-3"/>
        </w:rPr>
        <w:t> </w:t>
      </w:r>
      <w:r>
        <w:rPr/>
        <w:t>to</w:t>
      </w:r>
      <w:r>
        <w:rPr>
          <w:spacing w:val="-2"/>
        </w:rPr>
        <w:t> </w:t>
      </w:r>
      <w:r>
        <w:rPr/>
        <w:t>and</w:t>
      </w:r>
      <w:r>
        <w:rPr>
          <w:spacing w:val="-4"/>
        </w:rPr>
        <w:t> </w:t>
      </w:r>
      <w:r>
        <w:rPr/>
        <w:t>are</w:t>
      </w:r>
      <w:r>
        <w:rPr>
          <w:spacing w:val="-2"/>
        </w:rPr>
        <w:t> </w:t>
      </w:r>
      <w:r>
        <w:rPr/>
        <w:t>able</w:t>
      </w:r>
      <w:r>
        <w:rPr>
          <w:spacing w:val="-4"/>
        </w:rPr>
        <w:t> </w:t>
      </w:r>
      <w:r>
        <w:rPr/>
        <w:t>to</w:t>
      </w:r>
      <w:r>
        <w:rPr>
          <w:spacing w:val="-2"/>
        </w:rPr>
        <w:t> </w:t>
      </w:r>
      <w:r>
        <w:rPr/>
        <w:t>acquire</w:t>
      </w:r>
      <w:r>
        <w:rPr>
          <w:spacing w:val="-2"/>
        </w:rPr>
        <w:t> </w:t>
      </w:r>
      <w:r>
        <w:rPr/>
        <w:t>the</w:t>
      </w:r>
      <w:r>
        <w:rPr>
          <w:spacing w:val="-4"/>
        </w:rPr>
        <w:t> </w:t>
      </w:r>
      <w:r>
        <w:rPr/>
        <w:t>assistive</w:t>
      </w:r>
      <w:r>
        <w:rPr>
          <w:spacing w:val="-2"/>
        </w:rPr>
        <w:t> </w:t>
      </w:r>
      <w:r>
        <w:rPr/>
        <w:t>technology,</w:t>
      </w:r>
      <w:r>
        <w:rPr>
          <w:spacing w:val="-5"/>
        </w:rPr>
        <w:t> </w:t>
      </w:r>
      <w:r>
        <w:rPr/>
        <w:t>devices,</w:t>
      </w:r>
      <w:r>
        <w:rPr>
          <w:spacing w:val="-7"/>
        </w:rPr>
        <w:t> </w:t>
      </w:r>
      <w:r>
        <w:rPr/>
        <w:t>and</w:t>
      </w:r>
      <w:r>
        <w:rPr>
          <w:spacing w:val="-2"/>
        </w:rPr>
        <w:t> </w:t>
      </w:r>
      <w:r>
        <w:rPr/>
        <w:t>services</w:t>
      </w:r>
      <w:r>
        <w:rPr>
          <w:spacing w:val="-3"/>
        </w:rPr>
        <w:t> </w:t>
      </w:r>
      <w:r>
        <w:rPr/>
        <w:t>they</w:t>
      </w:r>
      <w:r>
        <w:rPr>
          <w:spacing w:val="-3"/>
        </w:rPr>
        <w:t> </w:t>
      </w:r>
      <w:r>
        <w:rPr/>
        <w:t>need</w:t>
      </w:r>
      <w:r>
        <w:rPr>
          <w:spacing w:val="-2"/>
        </w:rPr>
        <w:t> </w:t>
      </w:r>
      <w:r>
        <w:rPr/>
        <w:t>to</w:t>
      </w:r>
      <w:r>
        <w:rPr>
          <w:spacing w:val="-2"/>
        </w:rPr>
        <w:t> </w:t>
      </w:r>
      <w:r>
        <w:rPr/>
        <w:t>live, work, and attend school in their communities.</w:t>
      </w:r>
    </w:p>
    <w:p>
      <w:pPr>
        <w:pStyle w:val="BodyText"/>
        <w:ind w:left="0"/>
      </w:pPr>
    </w:p>
    <w:p>
      <w:pPr>
        <w:pStyle w:val="BodyText"/>
        <w:ind w:right="76"/>
      </w:pPr>
      <w:r>
        <w:rPr/>
        <w:t>The Consortium for Constituents with Disabilities is a coalition of more than 100 national disability organizations working together to advocate for national public policy that ensures the self- determination, independence, empowerment, integration and inclusion of children and adults with disabilities</w:t>
      </w:r>
      <w:r>
        <w:rPr>
          <w:spacing w:val="-3"/>
        </w:rPr>
        <w:t> </w:t>
      </w:r>
      <w:r>
        <w:rPr/>
        <w:t>in</w:t>
      </w:r>
      <w:r>
        <w:rPr>
          <w:spacing w:val="-4"/>
        </w:rPr>
        <w:t> </w:t>
      </w:r>
      <w:r>
        <w:rPr/>
        <w:t>all</w:t>
      </w:r>
      <w:r>
        <w:rPr>
          <w:spacing w:val="-3"/>
        </w:rPr>
        <w:t> </w:t>
      </w:r>
      <w:r>
        <w:rPr/>
        <w:t>aspects</w:t>
      </w:r>
      <w:r>
        <w:rPr>
          <w:spacing w:val="-3"/>
        </w:rPr>
        <w:t> </w:t>
      </w:r>
      <w:r>
        <w:rPr/>
        <w:t>of</w:t>
      </w:r>
      <w:r>
        <w:rPr>
          <w:spacing w:val="-2"/>
        </w:rPr>
        <w:t> </w:t>
      </w:r>
      <w:r>
        <w:rPr/>
        <w:t>society.</w:t>
      </w:r>
      <w:r>
        <w:rPr>
          <w:spacing w:val="40"/>
        </w:rPr>
        <w:t> </w:t>
      </w:r>
      <w:r>
        <w:rPr/>
        <w:t>The</w:t>
      </w:r>
      <w:r>
        <w:rPr>
          <w:spacing w:val="-2"/>
        </w:rPr>
        <w:t> </w:t>
      </w:r>
      <w:r>
        <w:rPr/>
        <w:t>Technology</w:t>
      </w:r>
      <w:r>
        <w:rPr>
          <w:spacing w:val="-5"/>
        </w:rPr>
        <w:t> </w:t>
      </w:r>
      <w:r>
        <w:rPr/>
        <w:t>and</w:t>
      </w:r>
      <w:r>
        <w:rPr>
          <w:spacing w:val="-2"/>
        </w:rPr>
        <w:t> </w:t>
      </w:r>
      <w:r>
        <w:rPr/>
        <w:t>Telecommunications</w:t>
      </w:r>
      <w:r>
        <w:rPr>
          <w:spacing w:val="-3"/>
        </w:rPr>
        <w:t> </w:t>
      </w:r>
      <w:r>
        <w:rPr/>
        <w:t>Task</w:t>
      </w:r>
      <w:r>
        <w:rPr>
          <w:spacing w:val="-3"/>
        </w:rPr>
        <w:t> </w:t>
      </w:r>
      <w:r>
        <w:rPr/>
        <w:t>Force</w:t>
      </w:r>
      <w:r>
        <w:rPr>
          <w:spacing w:val="-4"/>
        </w:rPr>
        <w:t> </w:t>
      </w:r>
      <w:r>
        <w:rPr/>
        <w:t>focuses</w:t>
      </w:r>
      <w:r>
        <w:rPr>
          <w:spacing w:val="-5"/>
        </w:rPr>
        <w:t> </w:t>
      </w:r>
      <w:r>
        <w:rPr/>
        <w:t>on national policy regarding matters of telecommunications and technology, including assistive technology,</w:t>
      </w:r>
      <w:r>
        <w:rPr>
          <w:spacing w:val="-2"/>
        </w:rPr>
        <w:t> </w:t>
      </w:r>
      <w:r>
        <w:rPr/>
        <w:t>in order</w:t>
      </w:r>
      <w:r>
        <w:rPr>
          <w:spacing w:val="-1"/>
        </w:rPr>
        <w:t> </w:t>
      </w:r>
      <w:r>
        <w:rPr/>
        <w:t>to</w:t>
      </w:r>
      <w:r>
        <w:rPr>
          <w:spacing w:val="-4"/>
        </w:rPr>
        <w:t> </w:t>
      </w:r>
      <w:r>
        <w:rPr/>
        <w:t>help</w:t>
      </w:r>
      <w:r>
        <w:rPr>
          <w:spacing w:val="-2"/>
        </w:rPr>
        <w:t> </w:t>
      </w:r>
      <w:r>
        <w:rPr/>
        <w:t>move society toward our</w:t>
      </w:r>
      <w:r>
        <w:rPr>
          <w:spacing w:val="-3"/>
        </w:rPr>
        <w:t> </w:t>
      </w:r>
      <w:r>
        <w:rPr/>
        <w:t>ultimate</w:t>
      </w:r>
      <w:r>
        <w:rPr>
          <w:spacing w:val="-1"/>
        </w:rPr>
        <w:t> </w:t>
      </w:r>
      <w:r>
        <w:rPr/>
        <w:t>goal of</w:t>
      </w:r>
      <w:r>
        <w:rPr>
          <w:spacing w:val="-2"/>
        </w:rPr>
        <w:t> </w:t>
      </w:r>
      <w:r>
        <w:rPr/>
        <w:t>full inclusion</w:t>
      </w:r>
      <w:r>
        <w:rPr>
          <w:spacing w:val="-1"/>
        </w:rPr>
        <w:t> </w:t>
      </w:r>
      <w:r>
        <w:rPr/>
        <w:t>for</w:t>
      </w:r>
      <w:r>
        <w:rPr>
          <w:spacing w:val="-4"/>
        </w:rPr>
        <w:t> </w:t>
      </w:r>
      <w:r>
        <w:rPr/>
        <w:t>all people with</w:t>
      </w:r>
      <w:r>
        <w:rPr>
          <w:spacing w:val="-1"/>
        </w:rPr>
        <w:t> </w:t>
      </w:r>
      <w:r>
        <w:rPr/>
        <w:t>a </w:t>
      </w:r>
      <w:r>
        <w:rPr>
          <w:spacing w:val="-2"/>
        </w:rPr>
        <w:t>disability.</w:t>
      </w:r>
    </w:p>
    <w:p>
      <w:pPr>
        <w:pStyle w:val="BodyText"/>
        <w:ind w:left="0"/>
      </w:pPr>
    </w:p>
    <w:p>
      <w:pPr>
        <w:spacing w:before="0"/>
        <w:ind w:left="120" w:right="167" w:firstLine="0"/>
        <w:jc w:val="left"/>
        <w:rPr>
          <w:b/>
          <w:sz w:val="24"/>
        </w:rPr>
      </w:pPr>
      <w:r>
        <w:rPr>
          <w:sz w:val="24"/>
        </w:rPr>
        <w:t>The AT Act programs provide critical funding to ensure people with disabilities can access and acquire</w:t>
      </w:r>
      <w:r>
        <w:rPr>
          <w:spacing w:val="-2"/>
          <w:sz w:val="24"/>
        </w:rPr>
        <w:t> </w:t>
      </w:r>
      <w:r>
        <w:rPr>
          <w:sz w:val="24"/>
        </w:rPr>
        <w:t>the</w:t>
      </w:r>
      <w:r>
        <w:rPr>
          <w:spacing w:val="-4"/>
          <w:sz w:val="24"/>
        </w:rPr>
        <w:t> </w:t>
      </w:r>
      <w:r>
        <w:rPr>
          <w:sz w:val="24"/>
        </w:rPr>
        <w:t>assistive</w:t>
      </w:r>
      <w:r>
        <w:rPr>
          <w:spacing w:val="-2"/>
          <w:sz w:val="24"/>
        </w:rPr>
        <w:t> </w:t>
      </w:r>
      <w:r>
        <w:rPr>
          <w:sz w:val="24"/>
        </w:rPr>
        <w:t>technology</w:t>
      </w:r>
      <w:r>
        <w:rPr>
          <w:spacing w:val="-3"/>
          <w:sz w:val="24"/>
        </w:rPr>
        <w:t> </w:t>
      </w:r>
      <w:r>
        <w:rPr>
          <w:sz w:val="24"/>
        </w:rPr>
        <w:t>devices</w:t>
      </w:r>
      <w:r>
        <w:rPr>
          <w:spacing w:val="-3"/>
          <w:sz w:val="24"/>
        </w:rPr>
        <w:t> </w:t>
      </w:r>
      <w:r>
        <w:rPr>
          <w:sz w:val="24"/>
        </w:rPr>
        <w:t>and</w:t>
      </w:r>
      <w:r>
        <w:rPr>
          <w:spacing w:val="-4"/>
          <w:sz w:val="24"/>
        </w:rPr>
        <w:t> </w:t>
      </w:r>
      <w:r>
        <w:rPr>
          <w:sz w:val="24"/>
        </w:rPr>
        <w:t>services</w:t>
      </w:r>
      <w:r>
        <w:rPr>
          <w:spacing w:val="-3"/>
          <w:sz w:val="24"/>
        </w:rPr>
        <w:t> </w:t>
      </w:r>
      <w:r>
        <w:rPr>
          <w:sz w:val="24"/>
        </w:rPr>
        <w:t>they</w:t>
      </w:r>
      <w:r>
        <w:rPr>
          <w:spacing w:val="-5"/>
          <w:sz w:val="24"/>
        </w:rPr>
        <w:t> </w:t>
      </w:r>
      <w:r>
        <w:rPr>
          <w:sz w:val="24"/>
        </w:rPr>
        <w:t>need</w:t>
      </w:r>
      <w:r>
        <w:rPr>
          <w:spacing w:val="-4"/>
          <w:sz w:val="24"/>
        </w:rPr>
        <w:t> </w:t>
      </w:r>
      <w:r>
        <w:rPr>
          <w:sz w:val="24"/>
        </w:rPr>
        <w:t>to</w:t>
      </w:r>
      <w:r>
        <w:rPr>
          <w:spacing w:val="-2"/>
          <w:sz w:val="24"/>
        </w:rPr>
        <w:t> </w:t>
      </w:r>
      <w:r>
        <w:rPr>
          <w:sz w:val="24"/>
        </w:rPr>
        <w:t>live,</w:t>
      </w:r>
      <w:r>
        <w:rPr>
          <w:spacing w:val="-2"/>
          <w:sz w:val="24"/>
        </w:rPr>
        <w:t> </w:t>
      </w:r>
      <w:r>
        <w:rPr>
          <w:sz w:val="24"/>
        </w:rPr>
        <w:t>work,</w:t>
      </w:r>
      <w:r>
        <w:rPr>
          <w:spacing w:val="-2"/>
          <w:sz w:val="24"/>
        </w:rPr>
        <w:t> </w:t>
      </w:r>
      <w:r>
        <w:rPr>
          <w:sz w:val="24"/>
        </w:rPr>
        <w:t>and</w:t>
      </w:r>
      <w:r>
        <w:rPr>
          <w:spacing w:val="-4"/>
          <w:sz w:val="24"/>
        </w:rPr>
        <w:t> </w:t>
      </w:r>
      <w:r>
        <w:rPr>
          <w:sz w:val="24"/>
        </w:rPr>
        <w:t>attend</w:t>
      </w:r>
      <w:r>
        <w:rPr>
          <w:spacing w:val="-5"/>
          <w:sz w:val="24"/>
        </w:rPr>
        <w:t> </w:t>
      </w:r>
      <w:r>
        <w:rPr>
          <w:sz w:val="24"/>
        </w:rPr>
        <w:t>school</w:t>
      </w:r>
      <w:r>
        <w:rPr>
          <w:spacing w:val="-3"/>
          <w:sz w:val="24"/>
        </w:rPr>
        <w:t> </w:t>
      </w:r>
      <w:r>
        <w:rPr>
          <w:sz w:val="24"/>
        </w:rPr>
        <w:t>in their communities. </w:t>
      </w:r>
      <w:r>
        <w:rPr>
          <w:b/>
          <w:sz w:val="24"/>
        </w:rPr>
        <w:t>Funding the AT Act at $42 million would allow programs to increase the breadth of</w:t>
      </w:r>
      <w:r>
        <w:rPr>
          <w:b/>
          <w:spacing w:val="-1"/>
          <w:sz w:val="24"/>
        </w:rPr>
        <w:t> </w:t>
      </w:r>
      <w:r>
        <w:rPr>
          <w:b/>
          <w:sz w:val="24"/>
        </w:rPr>
        <w:t>services required by</w:t>
      </w:r>
      <w:r>
        <w:rPr>
          <w:b/>
          <w:spacing w:val="-1"/>
          <w:sz w:val="24"/>
        </w:rPr>
        <w:t> </w:t>
      </w:r>
      <w:r>
        <w:rPr>
          <w:b/>
          <w:sz w:val="24"/>
        </w:rPr>
        <w:t>the law and address the consistently increased demand for these direct services.</w:t>
      </w:r>
    </w:p>
    <w:p>
      <w:pPr>
        <w:spacing w:after="0"/>
        <w:jc w:val="left"/>
        <w:rPr>
          <w:sz w:val="24"/>
        </w:rPr>
        <w:sectPr>
          <w:type w:val="continuous"/>
          <w:pgSz w:w="12240" w:h="15840"/>
          <w:pgMar w:top="1680" w:bottom="280" w:left="600" w:right="620"/>
        </w:sectPr>
      </w:pPr>
    </w:p>
    <w:p>
      <w:pPr>
        <w:spacing w:line="240" w:lineRule="auto" w:before="81"/>
        <w:ind w:left="120" w:right="167" w:firstLine="0"/>
        <w:jc w:val="left"/>
        <w:rPr>
          <w:sz w:val="24"/>
        </w:rPr>
      </w:pPr>
      <w:r>
        <w:rPr>
          <w:sz w:val="24"/>
        </w:rPr>
        <w:t>Section 4 State AT Act Grantees receive a formula grant in all 50 states, 5 U.S. territories, and the District of Columbia under the Assistive Technology (AT) Act of 2004.</w:t>
      </w:r>
      <w:r>
        <w:rPr>
          <w:spacing w:val="40"/>
          <w:sz w:val="24"/>
        </w:rPr>
        <w:t> </w:t>
      </w:r>
      <w:r>
        <w:rPr>
          <w:sz w:val="24"/>
        </w:rPr>
        <w:t>These 56 grantees are required to carry out a continuum of specified state level and state leadership activities that increase the access to and acquisition of assistive technology, including state financing activities (such as financial loans, cooperative buy, funds of last resort, etc.), device reutilization (including recycling, repair, refurbishment and device exchange), device loan/borrowing and device demonstration services.</w:t>
      </w:r>
      <w:r>
        <w:rPr>
          <w:spacing w:val="40"/>
          <w:sz w:val="24"/>
        </w:rPr>
        <w:t> </w:t>
      </w:r>
      <w:r>
        <w:rPr>
          <w:sz w:val="24"/>
        </w:rPr>
        <w:t>These services are available for persons with all types of disabilities, all ages, in all environments</w:t>
      </w:r>
      <w:r>
        <w:rPr>
          <w:spacing w:val="-4"/>
          <w:sz w:val="24"/>
        </w:rPr>
        <w:t> </w:t>
      </w:r>
      <w:r>
        <w:rPr>
          <w:sz w:val="24"/>
        </w:rPr>
        <w:t>(education,</w:t>
      </w:r>
      <w:r>
        <w:rPr>
          <w:spacing w:val="-6"/>
          <w:sz w:val="24"/>
        </w:rPr>
        <w:t> </w:t>
      </w:r>
      <w:r>
        <w:rPr>
          <w:sz w:val="24"/>
        </w:rPr>
        <w:t>employment,</w:t>
      </w:r>
      <w:r>
        <w:rPr>
          <w:spacing w:val="-3"/>
          <w:sz w:val="24"/>
        </w:rPr>
        <w:t> </w:t>
      </w:r>
      <w:r>
        <w:rPr>
          <w:sz w:val="24"/>
        </w:rPr>
        <w:t>community</w:t>
      </w:r>
      <w:r>
        <w:rPr>
          <w:spacing w:val="-6"/>
          <w:sz w:val="24"/>
        </w:rPr>
        <w:t> </w:t>
      </w:r>
      <w:r>
        <w:rPr>
          <w:sz w:val="24"/>
        </w:rPr>
        <w:t>living</w:t>
      </w:r>
      <w:r>
        <w:rPr>
          <w:spacing w:val="-3"/>
          <w:sz w:val="24"/>
        </w:rPr>
        <w:t> </w:t>
      </w:r>
      <w:r>
        <w:rPr>
          <w:sz w:val="24"/>
        </w:rPr>
        <w:t>and</w:t>
      </w:r>
      <w:r>
        <w:rPr>
          <w:spacing w:val="-3"/>
          <w:sz w:val="24"/>
        </w:rPr>
        <w:t> </w:t>
      </w:r>
      <w:r>
        <w:rPr>
          <w:sz w:val="24"/>
        </w:rPr>
        <w:t>information</w:t>
      </w:r>
      <w:r>
        <w:rPr>
          <w:spacing w:val="-4"/>
          <w:sz w:val="24"/>
        </w:rPr>
        <w:t> </w:t>
      </w:r>
      <w:r>
        <w:rPr>
          <w:sz w:val="24"/>
        </w:rPr>
        <w:t>technology).</w:t>
      </w:r>
      <w:r>
        <w:rPr>
          <w:spacing w:val="40"/>
          <w:sz w:val="24"/>
        </w:rPr>
        <w:t> </w:t>
      </w:r>
      <w:r>
        <w:rPr>
          <w:sz w:val="24"/>
        </w:rPr>
        <w:t>While</w:t>
      </w:r>
      <w:r>
        <w:rPr>
          <w:spacing w:val="-3"/>
          <w:sz w:val="24"/>
        </w:rPr>
        <w:t> </w:t>
      </w:r>
      <w:r>
        <w:rPr>
          <w:sz w:val="24"/>
        </w:rPr>
        <w:t>families and guardians are the primary beneficiaries of services for individuals with disabilities, AT Act programs provide a wide range of services and supports to other targeted individuals such as educators, employers, health care providers, rehabilitation providers, and technology experts, including web designers, procurement officials and AT manufacturers and vendors. </w:t>
      </w:r>
      <w:r>
        <w:rPr>
          <w:i/>
          <w:sz w:val="24"/>
          <w:u w:val="single"/>
        </w:rPr>
        <w:t>While the 2022</w:t>
      </w:r>
      <w:r>
        <w:rPr>
          <w:i/>
          <w:sz w:val="24"/>
          <w:u w:val="none"/>
        </w:rPr>
        <w:t> </w:t>
      </w:r>
      <w:r>
        <w:rPr>
          <w:i/>
          <w:sz w:val="24"/>
          <w:u w:val="single"/>
        </w:rPr>
        <w:t>reauthorization maintained the key components of the direct services program, the most important</w:t>
      </w:r>
      <w:r>
        <w:rPr>
          <w:i/>
          <w:sz w:val="24"/>
          <w:u w:val="none"/>
        </w:rPr>
        <w:t> </w:t>
      </w:r>
      <w:r>
        <w:rPr>
          <w:i/>
          <w:sz w:val="24"/>
          <w:u w:val="single"/>
        </w:rPr>
        <w:t>part of the reauthorization was to increase the capacity of AT Act Programs.</w:t>
      </w:r>
      <w:r>
        <w:rPr>
          <w:i/>
          <w:spacing w:val="40"/>
          <w:sz w:val="24"/>
          <w:u w:val="single"/>
        </w:rPr>
        <w:t> </w:t>
      </w:r>
      <w:r>
        <w:rPr>
          <w:i/>
          <w:sz w:val="24"/>
          <w:u w:val="single"/>
        </w:rPr>
        <w:t>In order to fulfill this</w:t>
      </w:r>
      <w:r>
        <w:rPr>
          <w:i/>
          <w:sz w:val="24"/>
          <w:u w:val="none"/>
        </w:rPr>
        <w:t> </w:t>
      </w:r>
      <w:r>
        <w:rPr>
          <w:i/>
          <w:sz w:val="24"/>
          <w:u w:val="single"/>
        </w:rPr>
        <w:t>intent, the reauthorization needs to be met with increased resources to achieve the intent of the</w:t>
      </w:r>
      <w:r>
        <w:rPr>
          <w:i/>
          <w:sz w:val="24"/>
          <w:u w:val="none"/>
        </w:rPr>
        <w:t> </w:t>
      </w:r>
      <w:r>
        <w:rPr>
          <w:i/>
          <w:spacing w:val="-2"/>
          <w:sz w:val="24"/>
          <w:u w:val="single"/>
        </w:rPr>
        <w:t>reauthorization</w:t>
      </w:r>
      <w:r>
        <w:rPr>
          <w:spacing w:val="-2"/>
          <w:sz w:val="24"/>
          <w:u w:val="none"/>
        </w:rPr>
        <w:t>.</w:t>
      </w:r>
    </w:p>
    <w:p>
      <w:pPr>
        <w:pStyle w:val="BodyText"/>
        <w:spacing w:before="274"/>
        <w:ind w:left="119" w:right="167"/>
      </w:pPr>
      <w:r>
        <w:rPr/>
        <w:t>The nationwide network of Protection and Advocacy for Assistive Technology (PAAT) programs in every state, the District of Columbia, five territories, and a fifty-seventh agency serving the Hopi, Navaho,</w:t>
      </w:r>
      <w:r>
        <w:rPr>
          <w:spacing w:val="-2"/>
        </w:rPr>
        <w:t> </w:t>
      </w:r>
      <w:r>
        <w:rPr/>
        <w:t>and</w:t>
      </w:r>
      <w:r>
        <w:rPr>
          <w:spacing w:val="-2"/>
        </w:rPr>
        <w:t> </w:t>
      </w:r>
      <w:r>
        <w:rPr/>
        <w:t>San</w:t>
      </w:r>
      <w:r>
        <w:rPr>
          <w:spacing w:val="-2"/>
        </w:rPr>
        <w:t> </w:t>
      </w:r>
      <w:r>
        <w:rPr/>
        <w:t>Juan</w:t>
      </w:r>
      <w:r>
        <w:rPr>
          <w:spacing w:val="-4"/>
        </w:rPr>
        <w:t> </w:t>
      </w:r>
      <w:r>
        <w:rPr/>
        <w:t>Southern</w:t>
      </w:r>
      <w:r>
        <w:rPr>
          <w:spacing w:val="-4"/>
        </w:rPr>
        <w:t> </w:t>
      </w:r>
      <w:r>
        <w:rPr/>
        <w:t>Paiute</w:t>
      </w:r>
      <w:r>
        <w:rPr>
          <w:spacing w:val="-2"/>
        </w:rPr>
        <w:t> </w:t>
      </w:r>
      <w:r>
        <w:rPr/>
        <w:t>tribes</w:t>
      </w:r>
      <w:r>
        <w:rPr>
          <w:spacing w:val="-5"/>
        </w:rPr>
        <w:t> </w:t>
      </w:r>
      <w:r>
        <w:rPr/>
        <w:t>in</w:t>
      </w:r>
      <w:r>
        <w:rPr>
          <w:spacing w:val="-2"/>
        </w:rPr>
        <w:t> </w:t>
      </w:r>
      <w:r>
        <w:rPr/>
        <w:t>the</w:t>
      </w:r>
      <w:r>
        <w:rPr>
          <w:spacing w:val="-2"/>
        </w:rPr>
        <w:t> </w:t>
      </w:r>
      <w:r>
        <w:rPr/>
        <w:t>Four</w:t>
      </w:r>
      <w:r>
        <w:rPr>
          <w:spacing w:val="-4"/>
        </w:rPr>
        <w:t> </w:t>
      </w:r>
      <w:r>
        <w:rPr/>
        <w:t>Corners</w:t>
      </w:r>
      <w:r>
        <w:rPr>
          <w:spacing w:val="-3"/>
        </w:rPr>
        <w:t> </w:t>
      </w:r>
      <w:r>
        <w:rPr/>
        <w:t>region</w:t>
      </w:r>
      <w:r>
        <w:rPr>
          <w:spacing w:val="-4"/>
        </w:rPr>
        <w:t> </w:t>
      </w:r>
      <w:r>
        <w:rPr/>
        <w:t>has</w:t>
      </w:r>
      <w:r>
        <w:rPr>
          <w:spacing w:val="-3"/>
        </w:rPr>
        <w:t> </w:t>
      </w:r>
      <w:r>
        <w:rPr/>
        <w:t>been</w:t>
      </w:r>
      <w:r>
        <w:rPr>
          <w:spacing w:val="-2"/>
        </w:rPr>
        <w:t> </w:t>
      </w:r>
      <w:r>
        <w:rPr/>
        <w:t>similarly</w:t>
      </w:r>
      <w:r>
        <w:rPr>
          <w:spacing w:val="-5"/>
        </w:rPr>
        <w:t> </w:t>
      </w:r>
      <w:r>
        <w:rPr/>
        <w:t>under- funded. Twenty-four programs receive a minimum allotment of just $50,000 and all the territories receive $30,000.</w:t>
      </w:r>
      <w:r>
        <w:rPr>
          <w:spacing w:val="40"/>
        </w:rPr>
        <w:t> </w:t>
      </w:r>
      <w:r>
        <w:rPr/>
        <w:t>Larger states such as Florida ($293,971), Georgia ($145,757), Ohio ($158,990), and</w:t>
      </w:r>
      <w:r>
        <w:rPr>
          <w:spacing w:val="-4"/>
        </w:rPr>
        <w:t> </w:t>
      </w:r>
      <w:r>
        <w:rPr/>
        <w:t>Pennsylvania</w:t>
      </w:r>
      <w:r>
        <w:rPr>
          <w:spacing w:val="-4"/>
        </w:rPr>
        <w:t> </w:t>
      </w:r>
      <w:r>
        <w:rPr/>
        <w:t>($174,971)</w:t>
      </w:r>
      <w:r>
        <w:rPr>
          <w:spacing w:val="-4"/>
        </w:rPr>
        <w:t> </w:t>
      </w:r>
      <w:r>
        <w:rPr/>
        <w:t>receive</w:t>
      </w:r>
      <w:r>
        <w:rPr>
          <w:spacing w:val="-3"/>
        </w:rPr>
        <w:t> </w:t>
      </w:r>
      <w:r>
        <w:rPr/>
        <w:t>insufficient</w:t>
      </w:r>
      <w:r>
        <w:rPr>
          <w:spacing w:val="-3"/>
        </w:rPr>
        <w:t> </w:t>
      </w:r>
      <w:r>
        <w:rPr/>
        <w:t>funding</w:t>
      </w:r>
      <w:r>
        <w:rPr>
          <w:spacing w:val="-3"/>
        </w:rPr>
        <w:t> </w:t>
      </w:r>
      <w:r>
        <w:rPr/>
        <w:t>when</w:t>
      </w:r>
      <w:r>
        <w:rPr>
          <w:spacing w:val="-3"/>
        </w:rPr>
        <w:t> </w:t>
      </w:r>
      <w:r>
        <w:rPr/>
        <w:t>compared</w:t>
      </w:r>
      <w:r>
        <w:rPr>
          <w:spacing w:val="-4"/>
        </w:rPr>
        <w:t> </w:t>
      </w:r>
      <w:r>
        <w:rPr/>
        <w:t>to</w:t>
      </w:r>
      <w:r>
        <w:rPr>
          <w:spacing w:val="-3"/>
        </w:rPr>
        <w:t> </w:t>
      </w:r>
      <w:r>
        <w:rPr/>
        <w:t>their</w:t>
      </w:r>
      <w:r>
        <w:rPr>
          <w:spacing w:val="-4"/>
        </w:rPr>
        <w:t> </w:t>
      </w:r>
      <w:r>
        <w:rPr/>
        <w:t>populations.</w:t>
      </w:r>
      <w:r>
        <w:rPr>
          <w:spacing w:val="40"/>
        </w:rPr>
        <w:t> </w:t>
      </w:r>
      <w:r>
        <w:rPr/>
        <w:t>The PAAT programs use these very limited funds to provide needed advocacy services to children and adults with disabilities.</w:t>
      </w:r>
      <w:r>
        <w:rPr>
          <w:spacing w:val="40"/>
        </w:rPr>
        <w:t> </w:t>
      </w:r>
      <w:r>
        <w:rPr/>
        <w:t>Every PAAT program conducts trainings and works with families, medical providers, schools, employers, and communities to ensure that individuals have access to the assistive technology they need.</w:t>
      </w:r>
    </w:p>
    <w:p>
      <w:pPr>
        <w:pStyle w:val="BodyText"/>
        <w:ind w:left="0"/>
      </w:pPr>
    </w:p>
    <w:p>
      <w:pPr>
        <w:pStyle w:val="BodyText"/>
        <w:ind w:left="119" w:right="76"/>
      </w:pPr>
      <w:r>
        <w:rPr/>
        <w:t>Thank you again for your efforts on behalf of the AT Act, which is so important to Americans with disabilities.</w:t>
      </w:r>
      <w:r>
        <w:rPr>
          <w:spacing w:val="40"/>
        </w:rPr>
        <w:t> </w:t>
      </w:r>
      <w:r>
        <w:rPr/>
        <w:t>We look forward to working with you in the coming months as Congress starts the FY 2025</w:t>
      </w:r>
      <w:r>
        <w:rPr>
          <w:spacing w:val="-1"/>
        </w:rPr>
        <w:t> </w:t>
      </w:r>
      <w:r>
        <w:rPr/>
        <w:t>appropriations</w:t>
      </w:r>
      <w:r>
        <w:rPr>
          <w:spacing w:val="-4"/>
        </w:rPr>
        <w:t> </w:t>
      </w:r>
      <w:r>
        <w:rPr/>
        <w:t>process.</w:t>
      </w:r>
      <w:r>
        <w:rPr>
          <w:spacing w:val="40"/>
        </w:rPr>
        <w:t> </w:t>
      </w:r>
      <w:r>
        <w:rPr/>
        <w:t>If</w:t>
      </w:r>
      <w:r>
        <w:rPr>
          <w:spacing w:val="-1"/>
        </w:rPr>
        <w:t> </w:t>
      </w:r>
      <w:r>
        <w:rPr/>
        <w:t>you</w:t>
      </w:r>
      <w:r>
        <w:rPr>
          <w:spacing w:val="-1"/>
        </w:rPr>
        <w:t> </w:t>
      </w:r>
      <w:r>
        <w:rPr/>
        <w:t>have</w:t>
      </w:r>
      <w:r>
        <w:rPr>
          <w:spacing w:val="-3"/>
        </w:rPr>
        <w:t> </w:t>
      </w:r>
      <w:r>
        <w:rPr/>
        <w:t>any</w:t>
      </w:r>
      <w:r>
        <w:rPr>
          <w:spacing w:val="-4"/>
        </w:rPr>
        <w:t> </w:t>
      </w:r>
      <w:r>
        <w:rPr/>
        <w:t>questions,</w:t>
      </w:r>
      <w:r>
        <w:rPr>
          <w:spacing w:val="-4"/>
        </w:rPr>
        <w:t> </w:t>
      </w:r>
      <w:r>
        <w:rPr/>
        <w:t>please</w:t>
      </w:r>
      <w:r>
        <w:rPr>
          <w:spacing w:val="-1"/>
        </w:rPr>
        <w:t> </w:t>
      </w:r>
      <w:r>
        <w:rPr/>
        <w:t>feel</w:t>
      </w:r>
      <w:r>
        <w:rPr>
          <w:spacing w:val="-5"/>
        </w:rPr>
        <w:t> </w:t>
      </w:r>
      <w:r>
        <w:rPr/>
        <w:t>free</w:t>
      </w:r>
      <w:r>
        <w:rPr>
          <w:spacing w:val="-1"/>
        </w:rPr>
        <w:t> </w:t>
      </w:r>
      <w:r>
        <w:rPr/>
        <w:t>to</w:t>
      </w:r>
      <w:r>
        <w:rPr>
          <w:spacing w:val="-3"/>
        </w:rPr>
        <w:t> </w:t>
      </w:r>
      <w:r>
        <w:rPr/>
        <w:t>contact</w:t>
      </w:r>
      <w:r>
        <w:rPr>
          <w:spacing w:val="-4"/>
        </w:rPr>
        <w:t> </w:t>
      </w:r>
      <w:r>
        <w:rPr/>
        <w:t>one</w:t>
      </w:r>
      <w:r>
        <w:rPr>
          <w:spacing w:val="-1"/>
        </w:rPr>
        <w:t> </w:t>
      </w:r>
      <w:r>
        <w:rPr/>
        <w:t>of</w:t>
      </w:r>
      <w:r>
        <w:rPr>
          <w:spacing w:val="-4"/>
        </w:rPr>
        <w:t> </w:t>
      </w:r>
      <w:r>
        <w:rPr/>
        <w:t>the</w:t>
      </w:r>
      <w:r>
        <w:rPr>
          <w:spacing w:val="-1"/>
        </w:rPr>
        <w:t> </w:t>
      </w:r>
      <w:r>
        <w:rPr/>
        <w:t>CCD Technology and Telecommunications Task Force Co-Chairs: Audrey Busch, </w:t>
      </w:r>
      <w:hyperlink r:id="rId6">
        <w:r>
          <w:rPr>
            <w:color w:val="0000FF"/>
            <w:u w:val="single" w:color="0000FF"/>
          </w:rPr>
          <w:t>audrey.busch@ataporg.org</w:t>
        </w:r>
      </w:hyperlink>
      <w:r>
        <w:rPr>
          <w:u w:val="none"/>
        </w:rPr>
        <w:t>; Sarah Malaier, </w:t>
      </w:r>
      <w:hyperlink r:id="rId7">
        <w:r>
          <w:rPr>
            <w:color w:val="0000FF"/>
            <w:u w:val="single" w:color="0000FF"/>
          </w:rPr>
          <w:t>smalaier@afb.org</w:t>
        </w:r>
      </w:hyperlink>
      <w:r>
        <w:rPr>
          <w:u w:val="none"/>
        </w:rPr>
        <w:t>; Eric Buehlmann, </w:t>
      </w:r>
      <w:hyperlink r:id="rId8">
        <w:r>
          <w:rPr>
            <w:color w:val="0000FF"/>
            <w:u w:val="single" w:color="0000FF"/>
          </w:rPr>
          <w:t>eric.buehlmann@ndrn.org</w:t>
        </w:r>
        <w:r>
          <w:rPr>
            <w:u w:val="none"/>
          </w:rPr>
          <w:t>;</w:t>
        </w:r>
      </w:hyperlink>
      <w:r>
        <w:rPr>
          <w:u w:val="none"/>
        </w:rPr>
        <w:t> or Laura Kaloi, </w:t>
      </w:r>
      <w:hyperlink r:id="rId9">
        <w:r>
          <w:rPr>
            <w:color w:val="0000FF"/>
            <w:u w:val="single" w:color="0000FF"/>
          </w:rPr>
          <w:t>lkaloi@stridepolicy.com</w:t>
        </w:r>
        <w:r>
          <w:rPr>
            <w:u w:val="none"/>
          </w:rPr>
          <w:t>.</w:t>
        </w:r>
      </w:hyperlink>
    </w:p>
    <w:p>
      <w:pPr>
        <w:pStyle w:val="BodyText"/>
        <w:ind w:left="0"/>
      </w:pPr>
    </w:p>
    <w:p>
      <w:pPr>
        <w:pStyle w:val="BodyText"/>
        <w:ind w:left="0"/>
      </w:pPr>
    </w:p>
    <w:p>
      <w:pPr>
        <w:pStyle w:val="BodyText"/>
      </w:pPr>
      <w:r>
        <w:rPr>
          <w:spacing w:val="-2"/>
        </w:rPr>
        <w:t>Sincerely,</w:t>
      </w:r>
    </w:p>
    <w:p>
      <w:pPr>
        <w:pStyle w:val="BodyText"/>
        <w:ind w:left="0"/>
      </w:pPr>
    </w:p>
    <w:p>
      <w:pPr>
        <w:pStyle w:val="BodyText"/>
        <w:ind w:right="5157"/>
      </w:pPr>
      <w:r>
        <w:rPr/>
        <w:t>Association</w:t>
      </w:r>
      <w:r>
        <w:rPr>
          <w:spacing w:val="-6"/>
        </w:rPr>
        <w:t> </w:t>
      </w:r>
      <w:r>
        <w:rPr/>
        <w:t>of</w:t>
      </w:r>
      <w:r>
        <w:rPr>
          <w:spacing w:val="-9"/>
        </w:rPr>
        <w:t> </w:t>
      </w:r>
      <w:r>
        <w:rPr/>
        <w:t>Assistive</w:t>
      </w:r>
      <w:r>
        <w:rPr>
          <w:spacing w:val="-6"/>
        </w:rPr>
        <w:t> </w:t>
      </w:r>
      <w:r>
        <w:rPr/>
        <w:t>Technology</w:t>
      </w:r>
      <w:r>
        <w:rPr>
          <w:spacing w:val="-7"/>
        </w:rPr>
        <w:t> </w:t>
      </w:r>
      <w:r>
        <w:rPr/>
        <w:t>Act</w:t>
      </w:r>
      <w:r>
        <w:rPr>
          <w:spacing w:val="-9"/>
        </w:rPr>
        <w:t> </w:t>
      </w:r>
      <w:r>
        <w:rPr/>
        <w:t>Programs National Disability Rights Network (NDRN)</w:t>
      </w:r>
    </w:p>
    <w:p>
      <w:pPr>
        <w:pStyle w:val="BodyText"/>
        <w:ind w:right="3888"/>
      </w:pPr>
      <w:r>
        <w:rPr/>
        <w:t>Association</w:t>
      </w:r>
      <w:r>
        <w:rPr>
          <w:spacing w:val="-5"/>
        </w:rPr>
        <w:t> </w:t>
      </w:r>
      <w:r>
        <w:rPr/>
        <w:t>of</w:t>
      </w:r>
      <w:r>
        <w:rPr>
          <w:spacing w:val="-8"/>
        </w:rPr>
        <w:t> </w:t>
      </w:r>
      <w:r>
        <w:rPr/>
        <w:t>People</w:t>
      </w:r>
      <w:r>
        <w:rPr>
          <w:spacing w:val="-7"/>
        </w:rPr>
        <w:t> </w:t>
      </w:r>
      <w:r>
        <w:rPr/>
        <w:t>Supporting</w:t>
      </w:r>
      <w:r>
        <w:rPr>
          <w:spacing w:val="-8"/>
        </w:rPr>
        <w:t> </w:t>
      </w:r>
      <w:r>
        <w:rPr/>
        <w:t>Employment</w:t>
      </w:r>
      <w:r>
        <w:rPr>
          <w:spacing w:val="-5"/>
        </w:rPr>
        <w:t> </w:t>
      </w:r>
      <w:r>
        <w:rPr/>
        <w:t>First</w:t>
      </w:r>
      <w:r>
        <w:rPr>
          <w:spacing w:val="-5"/>
        </w:rPr>
        <w:t> </w:t>
      </w:r>
      <w:r>
        <w:rPr/>
        <w:t>(APSE) Autism Society of America</w:t>
      </w:r>
    </w:p>
    <w:p>
      <w:pPr>
        <w:pStyle w:val="BodyText"/>
        <w:spacing w:before="1"/>
      </w:pPr>
      <w:r>
        <w:rPr/>
        <w:t>The</w:t>
      </w:r>
      <w:r>
        <w:rPr>
          <w:spacing w:val="-1"/>
        </w:rPr>
        <w:t> </w:t>
      </w:r>
      <w:r>
        <w:rPr/>
        <w:t>Advocacy</w:t>
      </w:r>
      <w:r>
        <w:rPr>
          <w:spacing w:val="-3"/>
        </w:rPr>
        <w:t> </w:t>
      </w:r>
      <w:r>
        <w:rPr>
          <w:spacing w:val="-2"/>
        </w:rPr>
        <w:t>Institute</w:t>
      </w:r>
    </w:p>
    <w:p>
      <w:pPr>
        <w:pStyle w:val="BodyText"/>
        <w:ind w:right="5157"/>
      </w:pPr>
      <w:r>
        <w:rPr/>
        <w:t>United</w:t>
      </w:r>
      <w:r>
        <w:rPr>
          <w:spacing w:val="-7"/>
        </w:rPr>
        <w:t> </w:t>
      </w:r>
      <w:r>
        <w:rPr/>
        <w:t>States</w:t>
      </w:r>
      <w:r>
        <w:rPr>
          <w:spacing w:val="-8"/>
        </w:rPr>
        <w:t> </w:t>
      </w:r>
      <w:r>
        <w:rPr/>
        <w:t>International</w:t>
      </w:r>
      <w:r>
        <w:rPr>
          <w:spacing w:val="-8"/>
        </w:rPr>
        <w:t> </w:t>
      </w:r>
      <w:r>
        <w:rPr/>
        <w:t>Council</w:t>
      </w:r>
      <w:r>
        <w:rPr>
          <w:spacing w:val="-8"/>
        </w:rPr>
        <w:t> </w:t>
      </w:r>
      <w:r>
        <w:rPr/>
        <w:t>on</w:t>
      </w:r>
      <w:r>
        <w:rPr>
          <w:spacing w:val="-7"/>
        </w:rPr>
        <w:t> </w:t>
      </w:r>
      <w:r>
        <w:rPr/>
        <w:t>Disabilities Access Ready Inc.</w:t>
      </w:r>
    </w:p>
    <w:p>
      <w:pPr>
        <w:pStyle w:val="BodyText"/>
        <w:ind w:right="6971"/>
      </w:pPr>
      <w:r>
        <w:rPr/>
        <w:t>Perkins School for the Blind American Council of the Blind Council</w:t>
      </w:r>
      <w:r>
        <w:rPr>
          <w:spacing w:val="-11"/>
        </w:rPr>
        <w:t> </w:t>
      </w:r>
      <w:r>
        <w:rPr/>
        <w:t>for</w:t>
      </w:r>
      <w:r>
        <w:rPr>
          <w:spacing w:val="-12"/>
        </w:rPr>
        <w:t> </w:t>
      </w:r>
      <w:r>
        <w:rPr/>
        <w:t>Exceptional</w:t>
      </w:r>
      <w:r>
        <w:rPr>
          <w:spacing w:val="-14"/>
        </w:rPr>
        <w:t> </w:t>
      </w:r>
      <w:r>
        <w:rPr/>
        <w:t>Children Council for Learning Disabilities</w:t>
      </w:r>
    </w:p>
    <w:p>
      <w:pPr>
        <w:pStyle w:val="BodyText"/>
      </w:pPr>
      <w:r>
        <w:rPr/>
        <w:t>Association</w:t>
      </w:r>
      <w:r>
        <w:rPr>
          <w:spacing w:val="-1"/>
        </w:rPr>
        <w:t> </w:t>
      </w:r>
      <w:r>
        <w:rPr/>
        <w:t>of</w:t>
      </w:r>
      <w:r>
        <w:rPr>
          <w:spacing w:val="-4"/>
        </w:rPr>
        <w:t> </w:t>
      </w:r>
      <w:r>
        <w:rPr/>
        <w:t>University</w:t>
      </w:r>
      <w:r>
        <w:rPr>
          <w:spacing w:val="-1"/>
        </w:rPr>
        <w:t> </w:t>
      </w:r>
      <w:r>
        <w:rPr/>
        <w:t>Centers</w:t>
      </w:r>
      <w:r>
        <w:rPr>
          <w:spacing w:val="-2"/>
        </w:rPr>
        <w:t> </w:t>
      </w:r>
      <w:r>
        <w:rPr/>
        <w:t>on </w:t>
      </w:r>
      <w:r>
        <w:rPr>
          <w:spacing w:val="-2"/>
        </w:rPr>
        <w:t>Disabilities</w:t>
      </w:r>
    </w:p>
    <w:p>
      <w:pPr>
        <w:spacing w:after="0"/>
        <w:sectPr>
          <w:pgSz w:w="12240" w:h="15840"/>
          <w:pgMar w:top="1100" w:bottom="280" w:left="600" w:right="620"/>
        </w:sectPr>
      </w:pPr>
    </w:p>
    <w:p>
      <w:pPr>
        <w:pStyle w:val="BodyText"/>
        <w:spacing w:before="81"/>
        <w:ind w:right="5864"/>
      </w:pPr>
      <w:r>
        <w:rPr/>
        <w:t>Assistive</w:t>
      </w:r>
      <w:r>
        <w:rPr>
          <w:spacing w:val="-11"/>
        </w:rPr>
        <w:t> </w:t>
      </w:r>
      <w:r>
        <w:rPr/>
        <w:t>Technology</w:t>
      </w:r>
      <w:r>
        <w:rPr>
          <w:spacing w:val="-12"/>
        </w:rPr>
        <w:t> </w:t>
      </w:r>
      <w:r>
        <w:rPr/>
        <w:t>Industry</w:t>
      </w:r>
      <w:r>
        <w:rPr>
          <w:spacing w:val="-14"/>
        </w:rPr>
        <w:t> </w:t>
      </w:r>
      <w:r>
        <w:rPr/>
        <w:t>Association </w:t>
      </w:r>
      <w:r>
        <w:rPr>
          <w:spacing w:val="-4"/>
        </w:rPr>
        <w:t>TASH</w:t>
      </w:r>
    </w:p>
    <w:p>
      <w:pPr>
        <w:pStyle w:val="BodyText"/>
        <w:ind w:right="6435"/>
      </w:pPr>
      <w:r>
        <w:rPr/>
        <w:t>National Down Syndrome Congress Autistic</w:t>
      </w:r>
      <w:r>
        <w:rPr>
          <w:spacing w:val="-9"/>
        </w:rPr>
        <w:t> </w:t>
      </w:r>
      <w:r>
        <w:rPr/>
        <w:t>Women</w:t>
      </w:r>
      <w:r>
        <w:rPr>
          <w:spacing w:val="-10"/>
        </w:rPr>
        <w:t> </w:t>
      </w:r>
      <w:r>
        <w:rPr/>
        <w:t>&amp;</w:t>
      </w:r>
      <w:r>
        <w:rPr>
          <w:spacing w:val="-9"/>
        </w:rPr>
        <w:t> </w:t>
      </w:r>
      <w:r>
        <w:rPr/>
        <w:t>Nonbinary</w:t>
      </w:r>
      <w:r>
        <w:rPr>
          <w:spacing w:val="-9"/>
        </w:rPr>
        <w:t> </w:t>
      </w:r>
      <w:r>
        <w:rPr/>
        <w:t>Network Cure SMA</w:t>
      </w:r>
    </w:p>
    <w:p>
      <w:pPr>
        <w:pStyle w:val="BodyText"/>
      </w:pPr>
      <w:r>
        <w:rPr>
          <w:spacing w:val="-2"/>
        </w:rPr>
        <w:t>CommunicationFIRST</w:t>
      </w:r>
    </w:p>
    <w:p>
      <w:pPr>
        <w:pStyle w:val="BodyText"/>
        <w:ind w:right="5157"/>
      </w:pPr>
      <w:r>
        <w:rPr/>
        <w:t>Association of University Centers on Disabilities United</w:t>
      </w:r>
      <w:r>
        <w:rPr>
          <w:spacing w:val="-7"/>
        </w:rPr>
        <w:t> </w:t>
      </w:r>
      <w:r>
        <w:rPr/>
        <w:t>States</w:t>
      </w:r>
      <w:r>
        <w:rPr>
          <w:spacing w:val="-8"/>
        </w:rPr>
        <w:t> </w:t>
      </w:r>
      <w:r>
        <w:rPr/>
        <w:t>International</w:t>
      </w:r>
      <w:r>
        <w:rPr>
          <w:spacing w:val="-8"/>
        </w:rPr>
        <w:t> </w:t>
      </w:r>
      <w:r>
        <w:rPr/>
        <w:t>Council</w:t>
      </w:r>
      <w:r>
        <w:rPr>
          <w:spacing w:val="-8"/>
        </w:rPr>
        <w:t> </w:t>
      </w:r>
      <w:r>
        <w:rPr/>
        <w:t>on</w:t>
      </w:r>
      <w:r>
        <w:rPr>
          <w:spacing w:val="-7"/>
        </w:rPr>
        <w:t> </w:t>
      </w:r>
      <w:r>
        <w:rPr/>
        <w:t>Disabilities </w:t>
      </w:r>
      <w:r>
        <w:rPr>
          <w:spacing w:val="-2"/>
        </w:rPr>
        <w:t>RespectAbility</w:t>
      </w:r>
    </w:p>
    <w:p>
      <w:pPr>
        <w:pStyle w:val="BodyText"/>
      </w:pPr>
      <w:r>
        <w:rPr/>
        <w:t>United</w:t>
      </w:r>
      <w:r>
        <w:rPr>
          <w:spacing w:val="-2"/>
        </w:rPr>
        <w:t> </w:t>
      </w:r>
      <w:r>
        <w:rPr/>
        <w:t>Spinal</w:t>
      </w:r>
      <w:r>
        <w:rPr>
          <w:spacing w:val="-5"/>
        </w:rPr>
        <w:t> </w:t>
      </w:r>
      <w:r>
        <w:rPr>
          <w:spacing w:val="-2"/>
        </w:rPr>
        <w:t>Association</w:t>
      </w:r>
    </w:p>
    <w:sectPr>
      <w:pgSz w:w="12240" w:h="15840"/>
      <w:pgMar w:top="110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udrey.busch@ataporg.org" TargetMode="External"/><Relationship Id="rId7" Type="http://schemas.openxmlformats.org/officeDocument/2006/relationships/hyperlink" Target="mailto:smalaier@afb.org" TargetMode="External"/><Relationship Id="rId8" Type="http://schemas.openxmlformats.org/officeDocument/2006/relationships/hyperlink" Target="mailto:eric.buehlmann@ndrn.org" TargetMode="External"/><Relationship Id="rId9" Type="http://schemas.openxmlformats.org/officeDocument/2006/relationships/hyperlink" Target="mailto:lkaloi@stride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abusch</dc:creator>
  <dc:subject>wdNOSTAMP</dc:subject>
  <dc:title>CCD AT Act Letter to House FY2022 (D0945522).DOCX</dc:title>
  <dcterms:created xsi:type="dcterms:W3CDTF">2024-05-19T04:11:15Z</dcterms:created>
  <dcterms:modified xsi:type="dcterms:W3CDTF">2024-05-19T04:11:15Z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Acrobat PDFMaker 24 for Word</vt:lpwstr>
  </property>
  <property fmtid="{D5CDD505-2E9C-101B-9397-08002B2CF9AE}" pid="4" name="LastSaved">
    <vt:filetime>2024-05-19T00:00:00Z</vt:filetime>
  </property>
  <property fmtid="{D5CDD505-2E9C-101B-9397-08002B2CF9AE}" pid="5" name="Producer">
    <vt:lpwstr>Adobe PDF Library 24.2</vt:lpwstr>
  </property>
  <property fmtid="{D5CDD505-2E9C-101B-9397-08002B2CF9AE}" pid="6" name="SourceModified">
    <vt:lpwstr>D:20240507191201</vt:lpwstr>
  </property>
</Properties>
</file>