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030" w:right="0" w:firstLine="0"/>
        <w:rPr>
          <w:rFonts w:ascii="Times New Roman"/>
          <w:sz w:val="20"/>
        </w:rPr>
      </w:pPr>
      <w:r>
        <w:rPr>
          <w:rFonts w:ascii="Times New Roman"/>
          <w:sz w:val="20"/>
        </w:rPr>
        <w:drawing>
          <wp:inline distT="0" distB="0" distL="0" distR="0">
            <wp:extent cx="3361929" cy="133816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61929" cy="1338167"/>
                    </a:xfrm>
                    <a:prstGeom prst="rect">
                      <a:avLst/>
                    </a:prstGeom>
                  </pic:spPr>
                </pic:pic>
              </a:graphicData>
            </a:graphic>
          </wp:inline>
        </w:drawing>
      </w:r>
      <w:r>
        <w:rPr>
          <w:rFonts w:ascii="Times New Roman"/>
          <w:sz w:val="20"/>
        </w:rPr>
      </w:r>
    </w:p>
    <w:p>
      <w:pPr>
        <w:pStyle w:val="BodyText"/>
        <w:spacing w:before="1"/>
      </w:pPr>
      <w:r>
        <w:rPr/>
        <w:t>December</w:t>
      </w:r>
      <w:r>
        <w:rPr>
          <w:spacing w:val="-6"/>
        </w:rPr>
        <w:t> </w:t>
      </w:r>
      <w:r>
        <w:rPr/>
        <w:t>23,</w:t>
      </w:r>
      <w:r>
        <w:rPr>
          <w:spacing w:val="-5"/>
        </w:rPr>
        <w:t> </w:t>
      </w:r>
      <w:r>
        <w:rPr>
          <w:spacing w:val="-4"/>
        </w:rPr>
        <w:t>2025</w:t>
      </w:r>
    </w:p>
    <w:p>
      <w:pPr>
        <w:pStyle w:val="BodyText"/>
      </w:pPr>
    </w:p>
    <w:p>
      <w:pPr>
        <w:pStyle w:val="BodyText"/>
        <w:ind w:right="6658"/>
      </w:pPr>
      <w:r>
        <w:rPr/>
        <w:t>Internal</w:t>
      </w:r>
      <w:r>
        <w:rPr>
          <w:spacing w:val="-13"/>
        </w:rPr>
        <w:t> </w:t>
      </w:r>
      <w:r>
        <w:rPr/>
        <w:t>Revenue</w:t>
      </w:r>
      <w:r>
        <w:rPr>
          <w:spacing w:val="-12"/>
        </w:rPr>
        <w:t> </w:t>
      </w:r>
      <w:r>
        <w:rPr/>
        <w:t>Service Room 5503</w:t>
      </w:r>
    </w:p>
    <w:p>
      <w:pPr>
        <w:pStyle w:val="BodyText"/>
        <w:spacing w:before="1"/>
        <w:ind w:right="5503"/>
      </w:pPr>
      <w:r>
        <w:rPr/>
        <w:t>P.O.</w:t>
      </w:r>
      <w:r>
        <w:rPr>
          <w:spacing w:val="-8"/>
        </w:rPr>
        <w:t> </w:t>
      </w:r>
      <w:r>
        <w:rPr/>
        <w:t>Box</w:t>
      </w:r>
      <w:r>
        <w:rPr>
          <w:spacing w:val="-8"/>
        </w:rPr>
        <w:t> </w:t>
      </w:r>
      <w:r>
        <w:rPr/>
        <w:t>7604,</w:t>
      </w:r>
      <w:r>
        <w:rPr>
          <w:spacing w:val="-8"/>
        </w:rPr>
        <w:t> </w:t>
      </w:r>
      <w:r>
        <w:rPr/>
        <w:t>Ben</w:t>
      </w:r>
      <w:r>
        <w:rPr>
          <w:spacing w:val="-8"/>
        </w:rPr>
        <w:t> </w:t>
      </w:r>
      <w:r>
        <w:rPr/>
        <w:t>Franklin</w:t>
      </w:r>
      <w:r>
        <w:rPr>
          <w:spacing w:val="-8"/>
        </w:rPr>
        <w:t> </w:t>
      </w:r>
      <w:r>
        <w:rPr/>
        <w:t>Station Washington, DC 20044</w:t>
      </w:r>
    </w:p>
    <w:p>
      <w:pPr>
        <w:pStyle w:val="BodyText"/>
      </w:pPr>
    </w:p>
    <w:p>
      <w:pPr>
        <w:pStyle w:val="BodyText"/>
      </w:pPr>
      <w:r>
        <w:rPr/>
        <w:t>Re:</w:t>
      </w:r>
      <w:r>
        <w:rPr>
          <w:spacing w:val="-8"/>
        </w:rPr>
        <w:t> </w:t>
      </w:r>
      <w:r>
        <w:rPr/>
        <w:t>ID:</w:t>
      </w:r>
      <w:r>
        <w:rPr>
          <w:spacing w:val="-7"/>
        </w:rPr>
        <w:t> </w:t>
      </w:r>
      <w:r>
        <w:rPr/>
        <w:t>Notice</w:t>
      </w:r>
      <w:r>
        <w:rPr>
          <w:spacing w:val="-7"/>
        </w:rPr>
        <w:t> </w:t>
      </w:r>
      <w:r>
        <w:rPr/>
        <w:t>2025-70/</w:t>
      </w:r>
      <w:r>
        <w:rPr>
          <w:spacing w:val="-7"/>
        </w:rPr>
        <w:t> </w:t>
      </w:r>
      <w:r>
        <w:rPr/>
        <w:t>IRS-2025-</w:t>
      </w:r>
      <w:r>
        <w:rPr>
          <w:spacing w:val="-4"/>
        </w:rPr>
        <w:t>0466</w:t>
      </w:r>
    </w:p>
    <w:p>
      <w:pPr>
        <w:pStyle w:val="BodyText"/>
        <w:spacing w:before="241"/>
      </w:pPr>
      <w:r>
        <w:rPr/>
        <w:t>Mr.</w:t>
      </w:r>
      <w:r>
        <w:rPr>
          <w:spacing w:val="-5"/>
        </w:rPr>
        <w:t> </w:t>
      </w:r>
      <w:r>
        <w:rPr/>
        <w:t>Edward</w:t>
      </w:r>
      <w:r>
        <w:rPr>
          <w:spacing w:val="-4"/>
        </w:rPr>
        <w:t> </w:t>
      </w:r>
      <w:r>
        <w:rPr>
          <w:spacing w:val="-2"/>
        </w:rPr>
        <w:t>Waters:</w:t>
      </w:r>
    </w:p>
    <w:p>
      <w:pPr>
        <w:pStyle w:val="BodyText"/>
        <w:spacing w:before="9"/>
      </w:pPr>
    </w:p>
    <w:p>
      <w:pPr>
        <w:pStyle w:val="BodyText"/>
        <w:spacing w:line="276" w:lineRule="auto" w:before="1"/>
        <w:ind w:right="14"/>
      </w:pPr>
      <w:r>
        <w:rPr/>
        <w:t>The</w:t>
      </w:r>
      <w:r>
        <w:rPr>
          <w:spacing w:val="-3"/>
        </w:rPr>
        <w:t> </w:t>
      </w:r>
      <w:r>
        <w:rPr/>
        <w:t>Consortium</w:t>
      </w:r>
      <w:r>
        <w:rPr>
          <w:spacing w:val="-3"/>
        </w:rPr>
        <w:t> </w:t>
      </w:r>
      <w:r>
        <w:rPr/>
        <w:t>for</w:t>
      </w:r>
      <w:r>
        <w:rPr>
          <w:spacing w:val="-3"/>
        </w:rPr>
        <w:t> </w:t>
      </w:r>
      <w:r>
        <w:rPr/>
        <w:t>Constituents</w:t>
      </w:r>
      <w:r>
        <w:rPr>
          <w:spacing w:val="-3"/>
        </w:rPr>
        <w:t> </w:t>
      </w:r>
      <w:r>
        <w:rPr/>
        <w:t>with</w:t>
      </w:r>
      <w:r>
        <w:rPr>
          <w:spacing w:val="-3"/>
        </w:rPr>
        <w:t> </w:t>
      </w:r>
      <w:r>
        <w:rPr/>
        <w:t>Disabilities</w:t>
      </w:r>
      <w:r>
        <w:rPr>
          <w:spacing w:val="-3"/>
        </w:rPr>
        <w:t> </w:t>
      </w:r>
      <w:r>
        <w:rPr/>
        <w:t>Education</w:t>
      </w:r>
      <w:r>
        <w:rPr>
          <w:spacing w:val="-3"/>
        </w:rPr>
        <w:t> </w:t>
      </w:r>
      <w:r>
        <w:rPr/>
        <w:t>Task</w:t>
      </w:r>
      <w:r>
        <w:rPr>
          <w:spacing w:val="-3"/>
        </w:rPr>
        <w:t> </w:t>
      </w:r>
      <w:r>
        <w:rPr/>
        <w:t>Force</w:t>
      </w:r>
      <w:r>
        <w:rPr>
          <w:spacing w:val="-3"/>
        </w:rPr>
        <w:t> </w:t>
      </w:r>
      <w:r>
        <w:rPr/>
        <w:t>(CCD)</w:t>
      </w:r>
      <w:r>
        <w:rPr>
          <w:spacing w:val="-3"/>
        </w:rPr>
        <w:t> </w:t>
      </w:r>
      <w:r>
        <w:rPr/>
        <w:t>is</w:t>
      </w:r>
      <w:r>
        <w:rPr>
          <w:spacing w:val="-3"/>
        </w:rPr>
        <w:t> </w:t>
      </w:r>
      <w:r>
        <w:rPr/>
        <w:t>writing</w:t>
      </w:r>
      <w:r>
        <w:rPr>
          <w:spacing w:val="-3"/>
        </w:rPr>
        <w:t> </w:t>
      </w:r>
      <w:r>
        <w:rPr/>
        <w:t>to</w:t>
      </w:r>
      <w:r>
        <w:rPr>
          <w:spacing w:val="-3"/>
        </w:rPr>
        <w:t> </w:t>
      </w:r>
      <w:r>
        <w:rPr/>
        <w:t>respond</w:t>
      </w:r>
      <w:r>
        <w:rPr>
          <w:spacing w:val="-3"/>
        </w:rPr>
        <w:t> </w:t>
      </w:r>
      <w:r>
        <w:rPr/>
        <w:t>to</w:t>
      </w:r>
      <w:r>
        <w:rPr>
          <w:spacing w:val="-3"/>
        </w:rPr>
        <w:t> </w:t>
      </w:r>
      <w:r>
        <w:rPr/>
        <w:t>the request for comment on the Individual Tax Credit for Qualified Contributions to Scholarship Granting Organizations. The CCD Education Task Force leads, advocates for, and monitors federal legislation and regulations</w:t>
      </w:r>
      <w:r>
        <w:rPr>
          <w:spacing w:val="-2"/>
        </w:rPr>
        <w:t> </w:t>
      </w:r>
      <w:r>
        <w:rPr/>
        <w:t>that</w:t>
      </w:r>
      <w:r>
        <w:rPr>
          <w:spacing w:val="-2"/>
        </w:rPr>
        <w:t> </w:t>
      </w:r>
      <w:r>
        <w:rPr/>
        <w:t>address</w:t>
      </w:r>
      <w:r>
        <w:rPr>
          <w:spacing w:val="-2"/>
        </w:rPr>
        <w:t> </w:t>
      </w:r>
      <w:r>
        <w:rPr/>
        <w:t>the</w:t>
      </w:r>
      <w:r>
        <w:rPr>
          <w:spacing w:val="-2"/>
        </w:rPr>
        <w:t> </w:t>
      </w:r>
      <w:r>
        <w:rPr/>
        <w:t>educational</w:t>
      </w:r>
      <w:r>
        <w:rPr>
          <w:spacing w:val="-2"/>
        </w:rPr>
        <w:t> </w:t>
      </w:r>
      <w:r>
        <w:rPr/>
        <w:t>needs</w:t>
      </w:r>
      <w:r>
        <w:rPr>
          <w:spacing w:val="-2"/>
        </w:rPr>
        <w:t> </w:t>
      </w:r>
      <w:r>
        <w:rPr/>
        <w:t>of</w:t>
      </w:r>
      <w:r>
        <w:rPr>
          <w:spacing w:val="-2"/>
        </w:rPr>
        <w:t> </w:t>
      </w:r>
      <w:r>
        <w:rPr/>
        <w:t>the</w:t>
      </w:r>
      <w:r>
        <w:rPr>
          <w:spacing w:val="-2"/>
        </w:rPr>
        <w:t> </w:t>
      </w:r>
      <w:r>
        <w:rPr/>
        <w:t>9.5</w:t>
      </w:r>
      <w:r>
        <w:rPr>
          <w:spacing w:val="-2"/>
        </w:rPr>
        <w:t> </w:t>
      </w:r>
      <w:r>
        <w:rPr/>
        <w:t>million</w:t>
      </w:r>
      <w:r>
        <w:rPr>
          <w:spacing w:val="-2"/>
        </w:rPr>
        <w:t> </w:t>
      </w:r>
      <w:r>
        <w:rPr/>
        <w:t>children</w:t>
      </w:r>
      <w:r>
        <w:rPr>
          <w:spacing w:val="-2"/>
        </w:rPr>
        <w:t> </w:t>
      </w:r>
      <w:r>
        <w:rPr/>
        <w:t>and</w:t>
      </w:r>
      <w:r>
        <w:rPr>
          <w:spacing w:val="-2"/>
        </w:rPr>
        <w:t> </w:t>
      </w:r>
      <w:r>
        <w:rPr/>
        <w:t>youth</w:t>
      </w:r>
      <w:r>
        <w:rPr>
          <w:spacing w:val="-2"/>
        </w:rPr>
        <w:t> </w:t>
      </w:r>
      <w:r>
        <w:rPr/>
        <w:t>with</w:t>
      </w:r>
      <w:r>
        <w:rPr>
          <w:spacing w:val="-2"/>
        </w:rPr>
        <w:t> </w:t>
      </w:r>
      <w:r>
        <w:rPr/>
        <w:t>disabilities</w:t>
      </w:r>
      <w:r>
        <w:rPr>
          <w:spacing w:val="-2"/>
        </w:rPr>
        <w:t> </w:t>
      </w:r>
      <w:r>
        <w:rPr/>
        <w:t>and their families, including policy efforts affecting the funding and implementation of Federal laws such as the Individuals with Disabilities Education Act (IDEA), Every Student Succeeds Act (ESSA), Section 504 of the Rehabilitation Act of 1973 (Section 504), and the Americans with Disabilities Act (ADA).</w:t>
      </w:r>
    </w:p>
    <w:p>
      <w:pPr>
        <w:pStyle w:val="BodyText"/>
        <w:spacing w:line="276" w:lineRule="auto" w:before="243"/>
        <w:ind w:right="69"/>
      </w:pPr>
      <w:r>
        <w:rPr/>
        <w:t>CCD</w:t>
      </w:r>
      <w:r>
        <w:rPr>
          <w:spacing w:val="-3"/>
        </w:rPr>
        <w:t> </w:t>
      </w:r>
      <w:r>
        <w:rPr/>
        <w:t>has</w:t>
      </w:r>
      <w:r>
        <w:rPr>
          <w:spacing w:val="-3"/>
        </w:rPr>
        <w:t> </w:t>
      </w:r>
      <w:r>
        <w:rPr/>
        <w:t>long</w:t>
      </w:r>
      <w:r>
        <w:rPr>
          <w:spacing w:val="-3"/>
        </w:rPr>
        <w:t> </w:t>
      </w:r>
      <w:r>
        <w:rPr/>
        <w:t>held</w:t>
      </w:r>
      <w:r>
        <w:rPr>
          <w:spacing w:val="-3"/>
        </w:rPr>
        <w:t> </w:t>
      </w:r>
      <w:r>
        <w:rPr/>
        <w:t>the</w:t>
      </w:r>
      <w:r>
        <w:rPr>
          <w:spacing w:val="-3"/>
        </w:rPr>
        <w:t> </w:t>
      </w:r>
      <w:r>
        <w:rPr/>
        <w:t>position</w:t>
      </w:r>
      <w:r>
        <w:rPr>
          <w:spacing w:val="-3"/>
        </w:rPr>
        <w:t> </w:t>
      </w:r>
      <w:r>
        <w:rPr/>
        <w:t>that</w:t>
      </w:r>
      <w:r>
        <w:rPr>
          <w:spacing w:val="-3"/>
        </w:rPr>
        <w:t> </w:t>
      </w:r>
      <w:r>
        <w:rPr/>
        <w:t>any</w:t>
      </w:r>
      <w:r>
        <w:rPr>
          <w:spacing w:val="-3"/>
        </w:rPr>
        <w:t> </w:t>
      </w:r>
      <w:r>
        <w:rPr/>
        <w:t>Federal</w:t>
      </w:r>
      <w:r>
        <w:rPr>
          <w:spacing w:val="-3"/>
        </w:rPr>
        <w:t> </w:t>
      </w:r>
      <w:r>
        <w:rPr/>
        <w:t>funds</w:t>
      </w:r>
      <w:r>
        <w:rPr>
          <w:spacing w:val="-3"/>
        </w:rPr>
        <w:t> </w:t>
      </w:r>
      <w:r>
        <w:rPr/>
        <w:t>directed</w:t>
      </w:r>
      <w:r>
        <w:rPr>
          <w:spacing w:val="-3"/>
        </w:rPr>
        <w:t> </w:t>
      </w:r>
      <w:r>
        <w:rPr/>
        <w:t>toward</w:t>
      </w:r>
      <w:r>
        <w:rPr>
          <w:spacing w:val="-3"/>
        </w:rPr>
        <w:t> </w:t>
      </w:r>
      <w:r>
        <w:rPr/>
        <w:t>or</w:t>
      </w:r>
      <w:r>
        <w:rPr>
          <w:spacing w:val="-3"/>
        </w:rPr>
        <w:t> </w:t>
      </w:r>
      <w:r>
        <w:rPr/>
        <w:t>in</w:t>
      </w:r>
      <w:r>
        <w:rPr>
          <w:spacing w:val="-3"/>
        </w:rPr>
        <w:t> </w:t>
      </w:r>
      <w:r>
        <w:rPr/>
        <w:t>support</w:t>
      </w:r>
      <w:r>
        <w:rPr>
          <w:spacing w:val="-3"/>
        </w:rPr>
        <w:t> </w:t>
      </w:r>
      <w:r>
        <w:rPr/>
        <w:t>of</w:t>
      </w:r>
      <w:r>
        <w:rPr>
          <w:spacing w:val="-3"/>
        </w:rPr>
        <w:t> </w:t>
      </w:r>
      <w:r>
        <w:rPr/>
        <w:t>education</w:t>
      </w:r>
      <w:r>
        <w:rPr>
          <w:spacing w:val="-3"/>
        </w:rPr>
        <w:t> </w:t>
      </w:r>
      <w:r>
        <w:rPr/>
        <w:t>must adhere to the IDEA, Section 504, the ADA, and other civil rights laws. Specifically, Federal taxpayer dollars should not be used for any private school choice or voucher/voucher-like programs unless Federal education, civil rights, and disability laws apply to the use of the funds.</w:t>
      </w:r>
    </w:p>
    <w:p>
      <w:pPr>
        <w:pStyle w:val="BodyText"/>
        <w:spacing w:line="276" w:lineRule="auto" w:before="238"/>
      </w:pPr>
      <w:r>
        <w:rPr/>
        <w:t>Our</w:t>
      </w:r>
      <w:r>
        <w:rPr>
          <w:spacing w:val="-3"/>
        </w:rPr>
        <w:t> </w:t>
      </w:r>
      <w:r>
        <w:rPr/>
        <w:t>concerns</w:t>
      </w:r>
      <w:r>
        <w:rPr>
          <w:spacing w:val="-3"/>
        </w:rPr>
        <w:t> </w:t>
      </w:r>
      <w:r>
        <w:rPr/>
        <w:t>relate</w:t>
      </w:r>
      <w:r>
        <w:rPr>
          <w:spacing w:val="-3"/>
        </w:rPr>
        <w:t> </w:t>
      </w:r>
      <w:r>
        <w:rPr/>
        <w:t>primarily</w:t>
      </w:r>
      <w:r>
        <w:rPr>
          <w:spacing w:val="-3"/>
        </w:rPr>
        <w:t> </w:t>
      </w:r>
      <w:r>
        <w:rPr/>
        <w:t>to</w:t>
      </w:r>
      <w:r>
        <w:rPr>
          <w:spacing w:val="-3"/>
        </w:rPr>
        <w:t> </w:t>
      </w:r>
      <w:r>
        <w:rPr/>
        <w:t>the</w:t>
      </w:r>
      <w:r>
        <w:rPr>
          <w:spacing w:val="-3"/>
        </w:rPr>
        <w:t> </w:t>
      </w:r>
      <w:r>
        <w:rPr/>
        <w:t>shifting</w:t>
      </w:r>
      <w:r>
        <w:rPr>
          <w:spacing w:val="-3"/>
        </w:rPr>
        <w:t> </w:t>
      </w:r>
      <w:r>
        <w:rPr/>
        <w:t>of</w:t>
      </w:r>
      <w:r>
        <w:rPr>
          <w:spacing w:val="-3"/>
        </w:rPr>
        <w:t> </w:t>
      </w:r>
      <w:r>
        <w:rPr/>
        <w:t>taxpayer</w:t>
      </w:r>
      <w:r>
        <w:rPr>
          <w:spacing w:val="-3"/>
        </w:rPr>
        <w:t> </w:t>
      </w:r>
      <w:r>
        <w:rPr/>
        <w:t>dollars</w:t>
      </w:r>
      <w:r>
        <w:rPr>
          <w:spacing w:val="-3"/>
        </w:rPr>
        <w:t> </w:t>
      </w:r>
      <w:r>
        <w:rPr/>
        <w:t>through</w:t>
      </w:r>
      <w:r>
        <w:rPr>
          <w:spacing w:val="-3"/>
        </w:rPr>
        <w:t> </w:t>
      </w:r>
      <w:r>
        <w:rPr/>
        <w:t>a</w:t>
      </w:r>
      <w:r>
        <w:rPr>
          <w:spacing w:val="-3"/>
        </w:rPr>
        <w:t> </w:t>
      </w:r>
      <w:r>
        <w:rPr/>
        <w:t>tax</w:t>
      </w:r>
      <w:r>
        <w:rPr>
          <w:spacing w:val="-3"/>
        </w:rPr>
        <w:t> </w:t>
      </w:r>
      <w:r>
        <w:rPr/>
        <w:t>credit</w:t>
      </w:r>
      <w:r>
        <w:rPr>
          <w:spacing w:val="-3"/>
        </w:rPr>
        <w:t> </w:t>
      </w:r>
      <w:r>
        <w:rPr/>
        <w:t>to</w:t>
      </w:r>
      <w:r>
        <w:rPr>
          <w:spacing w:val="-3"/>
        </w:rPr>
        <w:t> </w:t>
      </w:r>
      <w:r>
        <w:rPr/>
        <w:t>fund</w:t>
      </w:r>
      <w:r>
        <w:rPr>
          <w:spacing w:val="-3"/>
        </w:rPr>
        <w:t> </w:t>
      </w:r>
      <w:r>
        <w:rPr/>
        <w:t>scholarships (aka vouchers) to any non-public school primarily because the recipient schools are not required to adhere to Federal education and civil rights laws, and are also known to reject admission to students with disabilities who may require specialized instruction, education services and supports, or accommodations to access an education. The recipient schools are also not required to assess whether students meet state-set standards in reading, math, science, and graduate with a regular diploma as expected for all other schools as required under ESSA.</w:t>
      </w:r>
    </w:p>
    <w:p>
      <w:pPr>
        <w:pStyle w:val="BodyText"/>
        <w:spacing w:line="276" w:lineRule="auto" w:before="238"/>
        <w:ind w:right="69"/>
      </w:pPr>
      <w:r>
        <w:rPr/>
        <w:t>H.R.</w:t>
      </w:r>
      <w:r>
        <w:rPr>
          <w:spacing w:val="-3"/>
        </w:rPr>
        <w:t> </w:t>
      </w:r>
      <w:r>
        <w:rPr/>
        <w:t>1</w:t>
      </w:r>
      <w:r>
        <w:rPr>
          <w:spacing w:val="-3"/>
        </w:rPr>
        <w:t> </w:t>
      </w:r>
      <w:r>
        <w:rPr/>
        <w:t>creates</w:t>
      </w:r>
      <w:r>
        <w:rPr>
          <w:spacing w:val="-3"/>
        </w:rPr>
        <w:t> </w:t>
      </w:r>
      <w:r>
        <w:rPr/>
        <w:t>a</w:t>
      </w:r>
      <w:r>
        <w:rPr>
          <w:spacing w:val="-3"/>
        </w:rPr>
        <w:t> </w:t>
      </w:r>
      <w:r>
        <w:rPr/>
        <w:t>new</w:t>
      </w:r>
      <w:r>
        <w:rPr>
          <w:spacing w:val="-3"/>
        </w:rPr>
        <w:t> </w:t>
      </w:r>
      <w:r>
        <w:rPr/>
        <w:t>system</w:t>
      </w:r>
      <w:r>
        <w:rPr>
          <w:spacing w:val="-3"/>
        </w:rPr>
        <w:t> </w:t>
      </w:r>
      <w:r>
        <w:rPr/>
        <w:t>that</w:t>
      </w:r>
      <w:r>
        <w:rPr>
          <w:spacing w:val="-3"/>
        </w:rPr>
        <w:t> </w:t>
      </w:r>
      <w:r>
        <w:rPr/>
        <w:t>allows</w:t>
      </w:r>
      <w:r>
        <w:rPr>
          <w:spacing w:val="-3"/>
        </w:rPr>
        <w:t> </w:t>
      </w:r>
      <w:r>
        <w:rPr/>
        <w:t>taxpayers</w:t>
      </w:r>
      <w:r>
        <w:rPr>
          <w:spacing w:val="-3"/>
        </w:rPr>
        <w:t> </w:t>
      </w:r>
      <w:r>
        <w:rPr/>
        <w:t>to</w:t>
      </w:r>
      <w:r>
        <w:rPr>
          <w:spacing w:val="-3"/>
        </w:rPr>
        <w:t> </w:t>
      </w:r>
      <w:r>
        <w:rPr/>
        <w:t>send</w:t>
      </w:r>
      <w:r>
        <w:rPr>
          <w:spacing w:val="-3"/>
        </w:rPr>
        <w:t> </w:t>
      </w:r>
      <w:r>
        <w:rPr/>
        <w:t>money</w:t>
      </w:r>
      <w:r>
        <w:rPr>
          <w:spacing w:val="-3"/>
        </w:rPr>
        <w:t> </w:t>
      </w:r>
      <w:r>
        <w:rPr/>
        <w:t>to</w:t>
      </w:r>
      <w:r>
        <w:rPr>
          <w:spacing w:val="-3"/>
        </w:rPr>
        <w:t> </w:t>
      </w:r>
      <w:r>
        <w:rPr/>
        <w:t>a</w:t>
      </w:r>
      <w:r>
        <w:rPr>
          <w:spacing w:val="-3"/>
        </w:rPr>
        <w:t> </w:t>
      </w:r>
      <w:r>
        <w:rPr/>
        <w:t>scholarship</w:t>
      </w:r>
      <w:r>
        <w:rPr>
          <w:spacing w:val="-3"/>
        </w:rPr>
        <w:t> </w:t>
      </w:r>
      <w:r>
        <w:rPr/>
        <w:t>granting</w:t>
      </w:r>
      <w:r>
        <w:rPr>
          <w:spacing w:val="-3"/>
        </w:rPr>
        <w:t> </w:t>
      </w:r>
      <w:r>
        <w:rPr/>
        <w:t>organization (SGO) instead of paying the equivalent amount in federal taxes, thereby incentivizing taxpayers to contribute to these organizations. While the Federal government may not be transferring taxpayer funds directly to SGOs, the effect is the same: the use of tax credits encourages private donations that reduce federal tax revenue and scholarship recipients are receiving funds made available through a federal tax offset. As a result, funds that would otherwise flow to the Federal Treasury are diminished, and U.S. taxpayers are effectively subsidizing the scholarship funds overseen and disbursed by SGOs.</w:t>
      </w:r>
    </w:p>
    <w:p>
      <w:pPr>
        <w:pStyle w:val="BodyText"/>
        <w:spacing w:after="0" w:line="276" w:lineRule="auto"/>
        <w:sectPr>
          <w:type w:val="continuous"/>
          <w:pgSz w:w="12240" w:h="15840"/>
          <w:pgMar w:top="720" w:bottom="280" w:left="1440" w:right="1440"/>
        </w:sectPr>
      </w:pPr>
    </w:p>
    <w:p>
      <w:pPr>
        <w:pStyle w:val="BodyText"/>
        <w:spacing w:line="276" w:lineRule="auto" w:before="81"/>
      </w:pPr>
      <w:r>
        <w:rPr/>
        <w:t>The creation of this unprecedented, uncapped, dollar-for-dollar Federal tax credit program underscores the critical need for Federal and State oversight, particularly to ensure that other important governmental</w:t>
      </w:r>
      <w:r>
        <w:rPr>
          <w:spacing w:val="-4"/>
        </w:rPr>
        <w:t> </w:t>
      </w:r>
      <w:r>
        <w:rPr/>
        <w:t>interests</w:t>
      </w:r>
      <w:r>
        <w:rPr>
          <w:spacing w:val="-4"/>
        </w:rPr>
        <w:t> </w:t>
      </w:r>
      <w:r>
        <w:rPr/>
        <w:t>are</w:t>
      </w:r>
      <w:r>
        <w:rPr>
          <w:spacing w:val="-4"/>
        </w:rPr>
        <w:t> </w:t>
      </w:r>
      <w:r>
        <w:rPr/>
        <w:t>preserved,</w:t>
      </w:r>
      <w:r>
        <w:rPr>
          <w:spacing w:val="-4"/>
        </w:rPr>
        <w:t> </w:t>
      </w:r>
      <w:r>
        <w:rPr/>
        <w:t>including</w:t>
      </w:r>
      <w:r>
        <w:rPr>
          <w:spacing w:val="-3"/>
        </w:rPr>
        <w:t> </w:t>
      </w:r>
      <w:r>
        <w:rPr/>
        <w:t>civil</w:t>
      </w:r>
      <w:r>
        <w:rPr>
          <w:spacing w:val="-4"/>
        </w:rPr>
        <w:t> </w:t>
      </w:r>
      <w:r>
        <w:rPr/>
        <w:t>rights</w:t>
      </w:r>
      <w:r>
        <w:rPr>
          <w:spacing w:val="-4"/>
        </w:rPr>
        <w:t> </w:t>
      </w:r>
      <w:r>
        <w:rPr/>
        <w:t>protections</w:t>
      </w:r>
      <w:r>
        <w:rPr>
          <w:spacing w:val="-4"/>
        </w:rPr>
        <w:t> </w:t>
      </w:r>
      <w:r>
        <w:rPr/>
        <w:t>for</w:t>
      </w:r>
      <w:r>
        <w:rPr>
          <w:spacing w:val="-4"/>
        </w:rPr>
        <w:t> </w:t>
      </w:r>
      <w:r>
        <w:rPr/>
        <w:t>students</w:t>
      </w:r>
      <w:r>
        <w:rPr>
          <w:spacing w:val="-4"/>
        </w:rPr>
        <w:t> </w:t>
      </w:r>
      <w:r>
        <w:rPr/>
        <w:t>with</w:t>
      </w:r>
      <w:r>
        <w:rPr>
          <w:spacing w:val="-4"/>
        </w:rPr>
        <w:t> </w:t>
      </w:r>
      <w:r>
        <w:rPr/>
        <w:t>disabilities.</w:t>
      </w:r>
      <w:r>
        <w:rPr>
          <w:spacing w:val="-4"/>
        </w:rPr>
        <w:t> </w:t>
      </w:r>
      <w:r>
        <w:rPr/>
        <w:t>The</w:t>
      </w:r>
    </w:p>
    <w:p>
      <w:pPr>
        <w:pStyle w:val="BodyText"/>
        <w:spacing w:line="276" w:lineRule="auto"/>
        <w:ind w:right="47"/>
      </w:pPr>
      <w:r>
        <w:rPr/>
        <w:t>U.S. Treasury also has an interest in ensuring the donor can make an informed choice about where to donate their funds, and parents have an interest in ensuring they can make an informed choice about the scholarships they accept and if/where they can use the funds. Without clear Federal regulation, explicit</w:t>
      </w:r>
      <w:r>
        <w:rPr>
          <w:spacing w:val="-3"/>
        </w:rPr>
        <w:t> </w:t>
      </w:r>
      <w:r>
        <w:rPr/>
        <w:t>clarification</w:t>
      </w:r>
      <w:r>
        <w:rPr>
          <w:spacing w:val="-3"/>
        </w:rPr>
        <w:t> </w:t>
      </w:r>
      <w:r>
        <w:rPr/>
        <w:t>of</w:t>
      </w:r>
      <w:r>
        <w:rPr>
          <w:spacing w:val="-3"/>
        </w:rPr>
        <w:t> </w:t>
      </w:r>
      <w:r>
        <w:rPr/>
        <w:t>applicable</w:t>
      </w:r>
      <w:r>
        <w:rPr>
          <w:spacing w:val="-3"/>
        </w:rPr>
        <w:t> </w:t>
      </w:r>
      <w:r>
        <w:rPr/>
        <w:t>rights</w:t>
      </w:r>
      <w:r>
        <w:rPr>
          <w:spacing w:val="-3"/>
        </w:rPr>
        <w:t> </w:t>
      </w:r>
      <w:r>
        <w:rPr/>
        <w:t>and</w:t>
      </w:r>
      <w:r>
        <w:rPr>
          <w:spacing w:val="-3"/>
        </w:rPr>
        <w:t> </w:t>
      </w:r>
      <w:r>
        <w:rPr/>
        <w:t>protections,</w:t>
      </w:r>
      <w:r>
        <w:rPr>
          <w:spacing w:val="-3"/>
        </w:rPr>
        <w:t> </w:t>
      </w:r>
      <w:r>
        <w:rPr/>
        <w:t>and</w:t>
      </w:r>
      <w:r>
        <w:rPr>
          <w:spacing w:val="-3"/>
        </w:rPr>
        <w:t> </w:t>
      </w:r>
      <w:r>
        <w:rPr/>
        <w:t>transparent</w:t>
      </w:r>
      <w:r>
        <w:rPr>
          <w:spacing w:val="-3"/>
        </w:rPr>
        <w:t> </w:t>
      </w:r>
      <w:r>
        <w:rPr/>
        <w:t>data,</w:t>
      </w:r>
      <w:r>
        <w:rPr>
          <w:spacing w:val="-3"/>
        </w:rPr>
        <w:t> </w:t>
      </w:r>
      <w:r>
        <w:rPr/>
        <w:t>we</w:t>
      </w:r>
      <w:r>
        <w:rPr>
          <w:spacing w:val="-3"/>
        </w:rPr>
        <w:t> </w:t>
      </w:r>
      <w:r>
        <w:rPr/>
        <w:t>are</w:t>
      </w:r>
      <w:r>
        <w:rPr>
          <w:spacing w:val="-3"/>
        </w:rPr>
        <w:t> </w:t>
      </w:r>
      <w:r>
        <w:rPr/>
        <w:t>deeply</w:t>
      </w:r>
      <w:r>
        <w:rPr>
          <w:spacing w:val="-3"/>
        </w:rPr>
        <w:t> </w:t>
      </w:r>
      <w:r>
        <w:rPr/>
        <w:t>concerned that students with disabilities who receive scholarships through this new K–12 Federal tax credit program may lose the protections guaranteed to them under existing federal laws.</w:t>
      </w:r>
    </w:p>
    <w:p>
      <w:pPr>
        <w:pStyle w:val="Heading1"/>
        <w:numPr>
          <w:ilvl w:val="0"/>
          <w:numId w:val="1"/>
        </w:numPr>
        <w:tabs>
          <w:tab w:pos="408" w:val="left" w:leader="none"/>
        </w:tabs>
        <w:spacing w:line="276" w:lineRule="auto" w:before="240" w:after="0"/>
        <w:ind w:left="0" w:right="35" w:firstLine="0"/>
        <w:jc w:val="left"/>
      </w:pPr>
      <w:r>
        <w:rPr/>
        <w:t>The Department of Treasury should treat the schools and programs receiving scholarships from SGOs</w:t>
      </w:r>
      <w:r>
        <w:rPr>
          <w:spacing w:val="-3"/>
        </w:rPr>
        <w:t> </w:t>
      </w:r>
      <w:r>
        <w:rPr/>
        <w:t>as</w:t>
      </w:r>
      <w:r>
        <w:rPr>
          <w:spacing w:val="-3"/>
        </w:rPr>
        <w:t> </w:t>
      </w:r>
      <w:r>
        <w:rPr/>
        <w:t>de</w:t>
      </w:r>
      <w:r>
        <w:rPr>
          <w:spacing w:val="-3"/>
        </w:rPr>
        <w:t> </w:t>
      </w:r>
      <w:r>
        <w:rPr/>
        <w:t>facto</w:t>
      </w:r>
      <w:r>
        <w:rPr>
          <w:spacing w:val="-3"/>
        </w:rPr>
        <w:t> </w:t>
      </w:r>
      <w:r>
        <w:rPr/>
        <w:t>receiving</w:t>
      </w:r>
      <w:r>
        <w:rPr>
          <w:spacing w:val="-3"/>
        </w:rPr>
        <w:t> </w:t>
      </w:r>
      <w:r>
        <w:rPr/>
        <w:t>Federal</w:t>
      </w:r>
      <w:r>
        <w:rPr>
          <w:spacing w:val="-3"/>
        </w:rPr>
        <w:t> </w:t>
      </w:r>
      <w:r>
        <w:rPr/>
        <w:t>funds,</w:t>
      </w:r>
      <w:r>
        <w:rPr>
          <w:spacing w:val="-3"/>
        </w:rPr>
        <w:t> </w:t>
      </w:r>
      <w:r>
        <w:rPr/>
        <w:t>therefore</w:t>
      </w:r>
      <w:r>
        <w:rPr>
          <w:spacing w:val="-3"/>
        </w:rPr>
        <w:t> </w:t>
      </w:r>
      <w:r>
        <w:rPr/>
        <w:t>requiring</w:t>
      </w:r>
      <w:r>
        <w:rPr>
          <w:spacing w:val="-3"/>
        </w:rPr>
        <w:t> </w:t>
      </w:r>
      <w:r>
        <w:rPr/>
        <w:t>them</w:t>
      </w:r>
      <w:r>
        <w:rPr>
          <w:spacing w:val="-3"/>
        </w:rPr>
        <w:t> </w:t>
      </w:r>
      <w:r>
        <w:rPr/>
        <w:t>to</w:t>
      </w:r>
      <w:r>
        <w:rPr>
          <w:spacing w:val="-3"/>
        </w:rPr>
        <w:t> </w:t>
      </w:r>
      <w:r>
        <w:rPr/>
        <w:t>guarantee</w:t>
      </w:r>
      <w:r>
        <w:rPr>
          <w:spacing w:val="-3"/>
        </w:rPr>
        <w:t> </w:t>
      </w:r>
      <w:r>
        <w:rPr/>
        <w:t>and</w:t>
      </w:r>
      <w:r>
        <w:rPr>
          <w:spacing w:val="-3"/>
        </w:rPr>
        <w:t> </w:t>
      </w:r>
      <w:r>
        <w:rPr/>
        <w:t>uphold</w:t>
      </w:r>
      <w:r>
        <w:rPr>
          <w:spacing w:val="-3"/>
        </w:rPr>
        <w:t> </w:t>
      </w:r>
      <w:r>
        <w:rPr/>
        <w:t>the</w:t>
      </w:r>
      <w:r>
        <w:rPr>
          <w:spacing w:val="-3"/>
        </w:rPr>
        <w:t> </w:t>
      </w:r>
      <w:r>
        <w:rPr/>
        <w:t>rights granted to students with disabilities and their families under federal civil rights laws— namely Title II of the ADA, IDEA, and Section 504 of the Rehabilitation Act. This includes in its admission and disciplinary policies.</w:t>
      </w:r>
    </w:p>
    <w:p>
      <w:pPr>
        <w:pStyle w:val="BodyText"/>
        <w:spacing w:line="276" w:lineRule="auto" w:before="241"/>
        <w:ind w:left="720" w:right="47"/>
      </w:pPr>
      <w:r>
        <w:rPr/>
        <w:t>The intersection of IDEA with vouchers and school choice programs is legally complex. As the National Council on Disability explains, the U.S. Department of Education has long interpreted voucher use as a “parental placement,” meaning IDEA-eligible students lose their individual entitlement to a free appropriate public education (FAPE) and related services in those settings. As a result, unless a policy explicitly applies federal protections, most students who use</w:t>
      </w:r>
      <w:r>
        <w:rPr/>
        <w:t> vouchers to attend private or religious schools must relinquish IDEA rights, including evaluations, an IEP, FAPE, least restrictive environment requirements, and procedural due process.</w:t>
      </w:r>
      <w:r>
        <w:rPr>
          <w:spacing w:val="-3"/>
        </w:rPr>
        <w:t> </w:t>
      </w:r>
      <w:r>
        <w:rPr/>
        <w:t>Private</w:t>
      </w:r>
      <w:r>
        <w:rPr>
          <w:spacing w:val="-3"/>
        </w:rPr>
        <w:t> </w:t>
      </w:r>
      <w:r>
        <w:rPr/>
        <w:t>schools</w:t>
      </w:r>
      <w:r>
        <w:rPr>
          <w:spacing w:val="-3"/>
        </w:rPr>
        <w:t> </w:t>
      </w:r>
      <w:r>
        <w:rPr/>
        <w:t>may</w:t>
      </w:r>
      <w:r>
        <w:rPr>
          <w:spacing w:val="-3"/>
        </w:rPr>
        <w:t> </w:t>
      </w:r>
      <w:r>
        <w:rPr/>
        <w:t>also</w:t>
      </w:r>
      <w:r>
        <w:rPr>
          <w:spacing w:val="-3"/>
        </w:rPr>
        <w:t> </w:t>
      </w:r>
      <w:r>
        <w:rPr/>
        <w:t>reject</w:t>
      </w:r>
      <w:r>
        <w:rPr>
          <w:spacing w:val="-3"/>
        </w:rPr>
        <w:t> </w:t>
      </w:r>
      <w:r>
        <w:rPr/>
        <w:t>students</w:t>
      </w:r>
      <w:r>
        <w:rPr>
          <w:spacing w:val="-3"/>
        </w:rPr>
        <w:t> </w:t>
      </w:r>
      <w:r>
        <w:rPr/>
        <w:t>at</w:t>
      </w:r>
      <w:r>
        <w:rPr>
          <w:spacing w:val="-3"/>
        </w:rPr>
        <w:t> </w:t>
      </w:r>
      <w:r>
        <w:rPr/>
        <w:t>any</w:t>
      </w:r>
      <w:r>
        <w:rPr>
          <w:spacing w:val="-3"/>
        </w:rPr>
        <w:t> </w:t>
      </w:r>
      <w:r>
        <w:rPr/>
        <w:t>time,</w:t>
      </w:r>
      <w:r>
        <w:rPr>
          <w:spacing w:val="-3"/>
        </w:rPr>
        <w:t> </w:t>
      </w:r>
      <w:r>
        <w:rPr/>
        <w:t>including</w:t>
      </w:r>
      <w:r>
        <w:rPr>
          <w:spacing w:val="-3"/>
        </w:rPr>
        <w:t> </w:t>
      </w:r>
      <w:r>
        <w:rPr/>
        <w:t>on</w:t>
      </w:r>
      <w:r>
        <w:rPr>
          <w:spacing w:val="-3"/>
        </w:rPr>
        <w:t> </w:t>
      </w:r>
      <w:r>
        <w:rPr/>
        <w:t>the</w:t>
      </w:r>
      <w:r>
        <w:rPr>
          <w:spacing w:val="-3"/>
        </w:rPr>
        <w:t> </w:t>
      </w:r>
      <w:r>
        <w:rPr/>
        <w:t>basis</w:t>
      </w:r>
      <w:r>
        <w:rPr>
          <w:spacing w:val="-3"/>
        </w:rPr>
        <w:t> </w:t>
      </w:r>
      <w:r>
        <w:rPr/>
        <w:t>of</w:t>
      </w:r>
      <w:r>
        <w:rPr>
          <w:spacing w:val="-3"/>
        </w:rPr>
        <w:t> </w:t>
      </w:r>
      <w:r>
        <w:rPr/>
        <w:t>disability. Consequently, families who use vouchers, education savings accounts, or similar private choice mechanisms often forfeit critical IDEA rights and services—frequently without their knowledge. Without regulation and clarification of explicit rights and protections, we are concerned students with disabilities will be harmed by this tax credit.</w:t>
      </w:r>
    </w:p>
    <w:p>
      <w:pPr>
        <w:pStyle w:val="Heading1"/>
        <w:numPr>
          <w:ilvl w:val="0"/>
          <w:numId w:val="1"/>
        </w:numPr>
        <w:tabs>
          <w:tab w:pos="348" w:val="left" w:leader="none"/>
        </w:tabs>
        <w:spacing w:line="276" w:lineRule="auto" w:before="240" w:after="0"/>
        <w:ind w:left="0" w:right="371" w:firstLine="0"/>
        <w:jc w:val="left"/>
      </w:pPr>
      <w:r>
        <w:rPr/>
        <w:t>The Department of Treasury should require participating States to require SGOs to ensure transparency in the use of every dollar received and distributed. SGOs must compile and publicly share</w:t>
      </w:r>
      <w:r>
        <w:rPr>
          <w:spacing w:val="-3"/>
        </w:rPr>
        <w:t> </w:t>
      </w:r>
      <w:r>
        <w:rPr/>
        <w:t>a</w:t>
      </w:r>
      <w:r>
        <w:rPr>
          <w:spacing w:val="-3"/>
        </w:rPr>
        <w:t> </w:t>
      </w:r>
      <w:r>
        <w:rPr/>
        <w:t>list</w:t>
      </w:r>
      <w:r>
        <w:rPr>
          <w:spacing w:val="-3"/>
        </w:rPr>
        <w:t> </w:t>
      </w:r>
      <w:r>
        <w:rPr/>
        <w:t>of</w:t>
      </w:r>
      <w:r>
        <w:rPr>
          <w:spacing w:val="-3"/>
        </w:rPr>
        <w:t> </w:t>
      </w:r>
      <w:r>
        <w:rPr/>
        <w:t>all</w:t>
      </w:r>
      <w:r>
        <w:rPr>
          <w:spacing w:val="-3"/>
        </w:rPr>
        <w:t> </w:t>
      </w:r>
      <w:r>
        <w:rPr/>
        <w:t>approved</w:t>
      </w:r>
      <w:r>
        <w:rPr>
          <w:spacing w:val="-3"/>
        </w:rPr>
        <w:t> </w:t>
      </w:r>
      <w:r>
        <w:rPr/>
        <w:t>public</w:t>
      </w:r>
      <w:r>
        <w:rPr>
          <w:spacing w:val="-3"/>
        </w:rPr>
        <w:t> </w:t>
      </w:r>
      <w:r>
        <w:rPr/>
        <w:t>and</w:t>
      </w:r>
      <w:r>
        <w:rPr>
          <w:spacing w:val="-3"/>
        </w:rPr>
        <w:t> </w:t>
      </w:r>
      <w:r>
        <w:rPr/>
        <w:t>private</w:t>
      </w:r>
      <w:r>
        <w:rPr>
          <w:spacing w:val="-3"/>
        </w:rPr>
        <w:t> </w:t>
      </w:r>
      <w:r>
        <w:rPr/>
        <w:t>and</w:t>
      </w:r>
      <w:r>
        <w:rPr>
          <w:spacing w:val="-3"/>
        </w:rPr>
        <w:t> </w:t>
      </w:r>
      <w:r>
        <w:rPr/>
        <w:t>religious</w:t>
      </w:r>
      <w:r>
        <w:rPr>
          <w:spacing w:val="-3"/>
        </w:rPr>
        <w:t> </w:t>
      </w:r>
      <w:r>
        <w:rPr/>
        <w:t>schools,</w:t>
      </w:r>
      <w:r>
        <w:rPr>
          <w:spacing w:val="-3"/>
        </w:rPr>
        <w:t> </w:t>
      </w:r>
      <w:r>
        <w:rPr/>
        <w:t>vendors,</w:t>
      </w:r>
      <w:r>
        <w:rPr>
          <w:spacing w:val="-3"/>
        </w:rPr>
        <w:t> </w:t>
      </w:r>
      <w:r>
        <w:rPr/>
        <w:t>and/or</w:t>
      </w:r>
      <w:r>
        <w:rPr>
          <w:spacing w:val="-3"/>
        </w:rPr>
        <w:t> </w:t>
      </w:r>
      <w:r>
        <w:rPr/>
        <w:t>any</w:t>
      </w:r>
      <w:r>
        <w:rPr>
          <w:spacing w:val="-3"/>
        </w:rPr>
        <w:t> </w:t>
      </w:r>
      <w:r>
        <w:rPr/>
        <w:t>education service/educational therapy provider. Additionally, SGOs must compile and publicly share annual disaggregated</w:t>
      </w:r>
      <w:r>
        <w:rPr>
          <w:spacing w:val="-2"/>
        </w:rPr>
        <w:t> </w:t>
      </w:r>
      <w:r>
        <w:rPr/>
        <w:t>data</w:t>
      </w:r>
      <w:r>
        <w:rPr>
          <w:spacing w:val="-2"/>
        </w:rPr>
        <w:t> </w:t>
      </w:r>
      <w:r>
        <w:rPr/>
        <w:t>about</w:t>
      </w:r>
      <w:r>
        <w:rPr>
          <w:spacing w:val="-2"/>
        </w:rPr>
        <w:t> </w:t>
      </w:r>
      <w:r>
        <w:rPr/>
        <w:t>students</w:t>
      </w:r>
      <w:r>
        <w:rPr>
          <w:spacing w:val="-2"/>
        </w:rPr>
        <w:t> </w:t>
      </w:r>
      <w:r>
        <w:rPr/>
        <w:t>who</w:t>
      </w:r>
      <w:r>
        <w:rPr>
          <w:spacing w:val="-2"/>
        </w:rPr>
        <w:t> </w:t>
      </w:r>
      <w:r>
        <w:rPr/>
        <w:t>receive</w:t>
      </w:r>
      <w:r>
        <w:rPr>
          <w:spacing w:val="-2"/>
        </w:rPr>
        <w:t> </w:t>
      </w:r>
      <w:r>
        <w:rPr/>
        <w:t>scholarships.</w:t>
      </w:r>
      <w:r>
        <w:rPr>
          <w:spacing w:val="-2"/>
        </w:rPr>
        <w:t> </w:t>
      </w:r>
      <w:r>
        <w:rPr/>
        <w:t>For</w:t>
      </w:r>
      <w:r>
        <w:rPr>
          <w:spacing w:val="-2"/>
        </w:rPr>
        <w:t> </w:t>
      </w:r>
      <w:r>
        <w:rPr/>
        <w:t>transparency</w:t>
      </w:r>
      <w:r>
        <w:rPr>
          <w:spacing w:val="-2"/>
        </w:rPr>
        <w:t> </w:t>
      </w:r>
      <w:r>
        <w:rPr/>
        <w:t>purposes,</w:t>
      </w:r>
      <w:r>
        <w:rPr>
          <w:spacing w:val="-2"/>
        </w:rPr>
        <w:t> </w:t>
      </w:r>
      <w:r>
        <w:rPr/>
        <w:t>reported information should include disaggregated data by socio-economic status, race, disability status, English Learner, and any other demographic data the State requires for all K-12 students [except where personally identifiable information would be revealed], regarding academic achievement, discipline, and other relevant outcomes.</w:t>
      </w:r>
    </w:p>
    <w:p>
      <w:pPr>
        <w:pStyle w:val="BodyText"/>
        <w:spacing w:line="276" w:lineRule="auto" w:before="240"/>
        <w:ind w:left="720"/>
      </w:pPr>
      <w:r>
        <w:rPr/>
        <w:t>Given that the tax credit program will redirect millions—and potentially billions—of federal dollars</w:t>
      </w:r>
      <w:r>
        <w:rPr>
          <w:spacing w:val="-4"/>
        </w:rPr>
        <w:t> </w:t>
      </w:r>
      <w:r>
        <w:rPr/>
        <w:t>to</w:t>
      </w:r>
      <w:r>
        <w:rPr>
          <w:spacing w:val="-4"/>
        </w:rPr>
        <w:t> </w:t>
      </w:r>
      <w:r>
        <w:rPr/>
        <w:t>SGOs,</w:t>
      </w:r>
      <w:r>
        <w:rPr>
          <w:spacing w:val="-4"/>
        </w:rPr>
        <w:t> </w:t>
      </w:r>
      <w:r>
        <w:rPr/>
        <w:t>schools,</w:t>
      </w:r>
      <w:r>
        <w:rPr>
          <w:spacing w:val="-4"/>
        </w:rPr>
        <w:t> </w:t>
      </w:r>
      <w:r>
        <w:rPr/>
        <w:t>and</w:t>
      </w:r>
      <w:r>
        <w:rPr>
          <w:spacing w:val="-4"/>
        </w:rPr>
        <w:t> </w:t>
      </w:r>
      <w:r>
        <w:rPr/>
        <w:t>vendors,</w:t>
      </w:r>
      <w:r>
        <w:rPr>
          <w:spacing w:val="-4"/>
        </w:rPr>
        <w:t> </w:t>
      </w:r>
      <w:r>
        <w:rPr/>
        <w:t>Treasury</w:t>
      </w:r>
      <w:r>
        <w:rPr>
          <w:spacing w:val="-4"/>
        </w:rPr>
        <w:t> </w:t>
      </w:r>
      <w:r>
        <w:rPr/>
        <w:t>should</w:t>
      </w:r>
      <w:r>
        <w:rPr>
          <w:spacing w:val="-4"/>
        </w:rPr>
        <w:t> </w:t>
      </w:r>
      <w:r>
        <w:rPr/>
        <w:t>establish</w:t>
      </w:r>
      <w:r>
        <w:rPr>
          <w:spacing w:val="-4"/>
        </w:rPr>
        <w:t> </w:t>
      </w:r>
      <w:r>
        <w:rPr/>
        <w:t>robust</w:t>
      </w:r>
      <w:r>
        <w:rPr>
          <w:spacing w:val="-4"/>
        </w:rPr>
        <w:t> </w:t>
      </w:r>
      <w:r>
        <w:rPr/>
        <w:t>reporting</w:t>
      </w:r>
      <w:r>
        <w:rPr>
          <w:spacing w:val="-4"/>
        </w:rPr>
        <w:t> </w:t>
      </w:r>
      <w:r>
        <w:rPr/>
        <w:t>and</w:t>
      </w:r>
      <w:r>
        <w:rPr>
          <w:spacing w:val="-4"/>
        </w:rPr>
        <w:t> </w:t>
      </w:r>
      <w:r>
        <w:rPr/>
        <w:t>oversight requirements</w:t>
      </w:r>
      <w:r>
        <w:rPr>
          <w:spacing w:val="-9"/>
        </w:rPr>
        <w:t> </w:t>
      </w:r>
      <w:r>
        <w:rPr/>
        <w:t>to</w:t>
      </w:r>
      <w:r>
        <w:rPr>
          <w:spacing w:val="-6"/>
        </w:rPr>
        <w:t> </w:t>
      </w:r>
      <w:r>
        <w:rPr/>
        <w:t>safeguard</w:t>
      </w:r>
      <w:r>
        <w:rPr>
          <w:spacing w:val="-6"/>
        </w:rPr>
        <w:t> </w:t>
      </w:r>
      <w:r>
        <w:rPr/>
        <w:t>program</w:t>
      </w:r>
      <w:r>
        <w:rPr>
          <w:spacing w:val="-6"/>
        </w:rPr>
        <w:t> </w:t>
      </w:r>
      <w:r>
        <w:rPr/>
        <w:t>integrity.</w:t>
      </w:r>
      <w:r>
        <w:rPr>
          <w:spacing w:val="-6"/>
        </w:rPr>
        <w:t> </w:t>
      </w:r>
      <w:r>
        <w:rPr/>
        <w:t>States</w:t>
      </w:r>
      <w:r>
        <w:rPr>
          <w:spacing w:val="-6"/>
        </w:rPr>
        <w:t> </w:t>
      </w:r>
      <w:r>
        <w:rPr/>
        <w:t>and/or</w:t>
      </w:r>
      <w:r>
        <w:rPr>
          <w:spacing w:val="-6"/>
        </w:rPr>
        <w:t> </w:t>
      </w:r>
      <w:r>
        <w:rPr/>
        <w:t>SGOs</w:t>
      </w:r>
      <w:r>
        <w:rPr>
          <w:spacing w:val="-6"/>
        </w:rPr>
        <w:t> </w:t>
      </w:r>
      <w:r>
        <w:rPr/>
        <w:t>should</w:t>
      </w:r>
      <w:r>
        <w:rPr>
          <w:spacing w:val="-6"/>
        </w:rPr>
        <w:t> </w:t>
      </w:r>
      <w:r>
        <w:rPr/>
        <w:t>be</w:t>
      </w:r>
      <w:r>
        <w:rPr>
          <w:spacing w:val="-6"/>
        </w:rPr>
        <w:t> </w:t>
      </w:r>
      <w:r>
        <w:rPr/>
        <w:t>required</w:t>
      </w:r>
      <w:r>
        <w:rPr>
          <w:spacing w:val="-6"/>
        </w:rPr>
        <w:t> </w:t>
      </w:r>
      <w:r>
        <w:rPr/>
        <w:t>to</w:t>
      </w:r>
      <w:r>
        <w:rPr>
          <w:spacing w:val="-6"/>
        </w:rPr>
        <w:t> </w:t>
      </w:r>
      <w:r>
        <w:rPr>
          <w:spacing w:val="-2"/>
        </w:rPr>
        <w:t>collect</w:t>
      </w:r>
    </w:p>
    <w:p>
      <w:pPr>
        <w:pStyle w:val="BodyText"/>
        <w:spacing w:after="0" w:line="276" w:lineRule="auto"/>
        <w:sectPr>
          <w:pgSz w:w="12240" w:h="15840"/>
          <w:pgMar w:top="1360" w:bottom="280" w:left="1440" w:right="1440"/>
        </w:sectPr>
      </w:pPr>
    </w:p>
    <w:p>
      <w:pPr>
        <w:pStyle w:val="BodyText"/>
        <w:spacing w:line="276" w:lineRule="auto" w:before="81"/>
        <w:ind w:left="720"/>
      </w:pPr>
      <w:r>
        <w:rPr/>
        <w:t>and publicly disclose demographic information about participating students and schools. At a minimum,</w:t>
      </w:r>
      <w:r>
        <w:rPr>
          <w:spacing w:val="-4"/>
        </w:rPr>
        <w:t> </w:t>
      </w:r>
      <w:r>
        <w:rPr/>
        <w:t>reported</w:t>
      </w:r>
      <w:r>
        <w:rPr>
          <w:spacing w:val="-4"/>
        </w:rPr>
        <w:t> </w:t>
      </w:r>
      <w:r>
        <w:rPr/>
        <w:t>data</w:t>
      </w:r>
      <w:r>
        <w:rPr>
          <w:spacing w:val="-4"/>
        </w:rPr>
        <w:t> </w:t>
      </w:r>
      <w:r>
        <w:rPr/>
        <w:t>should</w:t>
      </w:r>
      <w:r>
        <w:rPr>
          <w:spacing w:val="-4"/>
        </w:rPr>
        <w:t> </w:t>
      </w:r>
      <w:r>
        <w:rPr/>
        <w:t>include</w:t>
      </w:r>
      <w:r>
        <w:rPr>
          <w:spacing w:val="-4"/>
        </w:rPr>
        <w:t> </w:t>
      </w:r>
      <w:r>
        <w:rPr/>
        <w:t>students’</w:t>
      </w:r>
      <w:r>
        <w:rPr>
          <w:spacing w:val="-4"/>
        </w:rPr>
        <w:t> </w:t>
      </w:r>
      <w:r>
        <w:rPr/>
        <w:t>race,</w:t>
      </w:r>
      <w:r>
        <w:rPr>
          <w:spacing w:val="-4"/>
        </w:rPr>
        <w:t> </w:t>
      </w:r>
      <w:r>
        <w:rPr/>
        <w:t>ethnicity,</w:t>
      </w:r>
      <w:r>
        <w:rPr>
          <w:spacing w:val="-4"/>
        </w:rPr>
        <w:t> </w:t>
      </w:r>
      <w:r>
        <w:rPr/>
        <w:t>gender,</w:t>
      </w:r>
      <w:r>
        <w:rPr>
          <w:spacing w:val="-4"/>
        </w:rPr>
        <w:t> </w:t>
      </w:r>
      <w:r>
        <w:rPr/>
        <w:t>socioeconomic</w:t>
      </w:r>
      <w:r>
        <w:rPr>
          <w:spacing w:val="-4"/>
        </w:rPr>
        <w:t> </w:t>
      </w:r>
      <w:r>
        <w:rPr/>
        <w:t>status, disability status, English learner status, and geographic location (rural, suburban, or urban).</w:t>
      </w:r>
    </w:p>
    <w:p>
      <w:pPr>
        <w:pStyle w:val="BodyText"/>
        <w:spacing w:line="276" w:lineRule="auto"/>
        <w:ind w:left="720"/>
      </w:pPr>
      <w:r>
        <w:rPr/>
        <w:t>Public reporting of these data will allow states to monitor equitable access, support informed parental decision-making, and assess whether the program is advancing educational quality. </w:t>
      </w:r>
      <w:r>
        <w:rPr>
          <w:color w:val="222222"/>
        </w:rPr>
        <w:t>These</w:t>
      </w:r>
      <w:r>
        <w:rPr>
          <w:color w:val="222222"/>
          <w:spacing w:val="-3"/>
        </w:rPr>
        <w:t> </w:t>
      </w:r>
      <w:r>
        <w:rPr>
          <w:color w:val="222222"/>
        </w:rPr>
        <w:t>types</w:t>
      </w:r>
      <w:r>
        <w:rPr>
          <w:color w:val="222222"/>
          <w:spacing w:val="-3"/>
        </w:rPr>
        <w:t> </w:t>
      </w:r>
      <w:r>
        <w:rPr>
          <w:color w:val="222222"/>
        </w:rPr>
        <w:t>of</w:t>
      </w:r>
      <w:r>
        <w:rPr>
          <w:color w:val="222222"/>
          <w:spacing w:val="-3"/>
        </w:rPr>
        <w:t> </w:t>
      </w:r>
      <w:r>
        <w:rPr>
          <w:color w:val="222222"/>
        </w:rPr>
        <w:t>choices</w:t>
      </w:r>
      <w:r>
        <w:rPr>
          <w:color w:val="222222"/>
          <w:spacing w:val="-3"/>
        </w:rPr>
        <w:t> </w:t>
      </w:r>
      <w:r>
        <w:rPr>
          <w:color w:val="222222"/>
        </w:rPr>
        <w:t>cannot</w:t>
      </w:r>
      <w:r>
        <w:rPr>
          <w:color w:val="222222"/>
          <w:spacing w:val="-3"/>
        </w:rPr>
        <w:t> </w:t>
      </w:r>
      <w:r>
        <w:rPr>
          <w:color w:val="222222"/>
        </w:rPr>
        <w:t>be</w:t>
      </w:r>
      <w:r>
        <w:rPr>
          <w:color w:val="222222"/>
          <w:spacing w:val="-3"/>
        </w:rPr>
        <w:t> </w:t>
      </w:r>
      <w:r>
        <w:rPr>
          <w:color w:val="222222"/>
        </w:rPr>
        <w:t>made</w:t>
      </w:r>
      <w:r>
        <w:rPr>
          <w:color w:val="222222"/>
          <w:spacing w:val="-3"/>
        </w:rPr>
        <w:t> </w:t>
      </w:r>
      <w:r>
        <w:rPr>
          <w:color w:val="222222"/>
        </w:rPr>
        <w:t>if</w:t>
      </w:r>
      <w:r>
        <w:rPr>
          <w:color w:val="222222"/>
          <w:spacing w:val="-3"/>
        </w:rPr>
        <w:t> </w:t>
      </w:r>
      <w:r>
        <w:rPr>
          <w:color w:val="222222"/>
        </w:rPr>
        <w:t>data</w:t>
      </w:r>
      <w:r>
        <w:rPr>
          <w:color w:val="222222"/>
          <w:spacing w:val="-3"/>
        </w:rPr>
        <w:t> </w:t>
      </w:r>
      <w:r>
        <w:rPr>
          <w:color w:val="222222"/>
        </w:rPr>
        <w:t>is</w:t>
      </w:r>
      <w:r>
        <w:rPr>
          <w:color w:val="222222"/>
          <w:spacing w:val="-3"/>
        </w:rPr>
        <w:t> </w:t>
      </w:r>
      <w:r>
        <w:rPr>
          <w:color w:val="222222"/>
        </w:rPr>
        <w:t>not</w:t>
      </w:r>
      <w:r>
        <w:rPr>
          <w:color w:val="222222"/>
          <w:spacing w:val="-3"/>
        </w:rPr>
        <w:t> </w:t>
      </w:r>
      <w:r>
        <w:rPr>
          <w:color w:val="222222"/>
        </w:rPr>
        <w:t>made</w:t>
      </w:r>
      <w:r>
        <w:rPr>
          <w:color w:val="222222"/>
          <w:spacing w:val="-3"/>
        </w:rPr>
        <w:t> </w:t>
      </w:r>
      <w:r>
        <w:rPr>
          <w:color w:val="222222"/>
        </w:rPr>
        <w:t>available</w:t>
      </w:r>
      <w:r>
        <w:rPr>
          <w:color w:val="222222"/>
          <w:spacing w:val="-3"/>
        </w:rPr>
        <w:t> </w:t>
      </w:r>
      <w:r>
        <w:rPr>
          <w:color w:val="222222"/>
        </w:rPr>
        <w:t>to</w:t>
      </w:r>
      <w:r>
        <w:rPr>
          <w:color w:val="222222"/>
          <w:spacing w:val="-3"/>
        </w:rPr>
        <w:t> </w:t>
      </w:r>
      <w:r>
        <w:rPr>
          <w:color w:val="222222"/>
        </w:rPr>
        <w:t>the</w:t>
      </w:r>
      <w:r>
        <w:rPr>
          <w:color w:val="222222"/>
          <w:spacing w:val="-3"/>
        </w:rPr>
        <w:t> </w:t>
      </w:r>
      <w:r>
        <w:rPr>
          <w:color w:val="222222"/>
        </w:rPr>
        <w:t>public</w:t>
      </w:r>
      <w:r>
        <w:rPr>
          <w:color w:val="222222"/>
          <w:spacing w:val="-3"/>
        </w:rPr>
        <w:t> </w:t>
      </w:r>
      <w:r>
        <w:rPr>
          <w:color w:val="222222"/>
        </w:rPr>
        <w:t>on</w:t>
      </w:r>
      <w:r>
        <w:rPr>
          <w:color w:val="222222"/>
          <w:spacing w:val="-3"/>
        </w:rPr>
        <w:t> </w:t>
      </w:r>
      <w:r>
        <w:rPr>
          <w:color w:val="222222"/>
        </w:rPr>
        <w:t>at</w:t>
      </w:r>
      <w:r>
        <w:rPr>
          <w:color w:val="222222"/>
          <w:spacing w:val="-3"/>
        </w:rPr>
        <w:t> </w:t>
      </w:r>
      <w:r>
        <w:rPr>
          <w:color w:val="222222"/>
        </w:rPr>
        <w:t>least</w:t>
      </w:r>
      <w:r>
        <w:rPr>
          <w:color w:val="222222"/>
          <w:spacing w:val="-3"/>
        </w:rPr>
        <w:t> </w:t>
      </w:r>
      <w:r>
        <w:rPr>
          <w:color w:val="222222"/>
        </w:rPr>
        <w:t>an annual basis.</w:t>
      </w:r>
    </w:p>
    <w:p>
      <w:pPr>
        <w:pStyle w:val="BodyText"/>
        <w:spacing w:line="278" w:lineRule="auto" w:before="239"/>
        <w:ind w:left="720"/>
      </w:pPr>
      <w:r>
        <w:rPr/>
        <w:t>To</w:t>
      </w:r>
      <w:r>
        <w:rPr>
          <w:spacing w:val="-4"/>
        </w:rPr>
        <w:t> </w:t>
      </w:r>
      <w:r>
        <w:rPr/>
        <w:t>strengthen</w:t>
      </w:r>
      <w:r>
        <w:rPr>
          <w:spacing w:val="-4"/>
        </w:rPr>
        <w:t> </w:t>
      </w:r>
      <w:r>
        <w:rPr/>
        <w:t>transparency</w:t>
      </w:r>
      <w:r>
        <w:rPr>
          <w:spacing w:val="-4"/>
        </w:rPr>
        <w:t> </w:t>
      </w:r>
      <w:r>
        <w:rPr/>
        <w:t>and</w:t>
      </w:r>
      <w:r>
        <w:rPr>
          <w:spacing w:val="-4"/>
        </w:rPr>
        <w:t> </w:t>
      </w:r>
      <w:r>
        <w:rPr/>
        <w:t>oversight,</w:t>
      </w:r>
      <w:r>
        <w:rPr>
          <w:spacing w:val="-4"/>
        </w:rPr>
        <w:t> </w:t>
      </w:r>
      <w:r>
        <w:rPr/>
        <w:t>Treasury</w:t>
      </w:r>
      <w:r>
        <w:rPr>
          <w:spacing w:val="-4"/>
        </w:rPr>
        <w:t> </w:t>
      </w:r>
      <w:r>
        <w:rPr/>
        <w:t>regulations</w:t>
      </w:r>
      <w:r>
        <w:rPr>
          <w:spacing w:val="-4"/>
        </w:rPr>
        <w:t> </w:t>
      </w:r>
      <w:r>
        <w:rPr/>
        <w:t>and</w:t>
      </w:r>
      <w:r>
        <w:rPr>
          <w:spacing w:val="-4"/>
        </w:rPr>
        <w:t> </w:t>
      </w:r>
      <w:r>
        <w:rPr/>
        <w:t>guidance</w:t>
      </w:r>
      <w:r>
        <w:rPr>
          <w:spacing w:val="-4"/>
        </w:rPr>
        <w:t> </w:t>
      </w:r>
      <w:r>
        <w:rPr/>
        <w:t>should</w:t>
      </w:r>
      <w:r>
        <w:rPr>
          <w:spacing w:val="-4"/>
        </w:rPr>
        <w:t> </w:t>
      </w:r>
      <w:r>
        <w:rPr/>
        <w:t>require annual reporting by States that includes:</w:t>
      </w:r>
    </w:p>
    <w:p>
      <w:pPr>
        <w:pStyle w:val="ListParagraph"/>
        <w:numPr>
          <w:ilvl w:val="1"/>
          <w:numId w:val="1"/>
        </w:numPr>
        <w:tabs>
          <w:tab w:pos="1438" w:val="left" w:leader="none"/>
        </w:tabs>
        <w:spacing w:line="240" w:lineRule="auto" w:before="236" w:after="0"/>
        <w:ind w:left="1438" w:right="0" w:hanging="358"/>
        <w:jc w:val="left"/>
        <w:rPr>
          <w:sz w:val="22"/>
        </w:rPr>
      </w:pPr>
      <w:r>
        <w:rPr>
          <w:sz w:val="22"/>
        </w:rPr>
        <w:t>A</w:t>
      </w:r>
      <w:r>
        <w:rPr>
          <w:spacing w:val="-7"/>
          <w:sz w:val="22"/>
        </w:rPr>
        <w:t> </w:t>
      </w:r>
      <w:r>
        <w:rPr>
          <w:sz w:val="22"/>
        </w:rPr>
        <w:t>list</w:t>
      </w:r>
      <w:r>
        <w:rPr>
          <w:spacing w:val="-5"/>
          <w:sz w:val="22"/>
        </w:rPr>
        <w:t> </w:t>
      </w:r>
      <w:r>
        <w:rPr>
          <w:sz w:val="22"/>
        </w:rPr>
        <w:t>of</w:t>
      </w:r>
      <w:r>
        <w:rPr>
          <w:spacing w:val="-5"/>
          <w:sz w:val="22"/>
        </w:rPr>
        <w:t> </w:t>
      </w:r>
      <w:r>
        <w:rPr>
          <w:sz w:val="22"/>
        </w:rPr>
        <w:t>participating</w:t>
      </w:r>
      <w:r>
        <w:rPr>
          <w:spacing w:val="-4"/>
          <w:sz w:val="22"/>
        </w:rPr>
        <w:t> </w:t>
      </w:r>
      <w:r>
        <w:rPr>
          <w:sz w:val="22"/>
        </w:rPr>
        <w:t>SGOs,</w:t>
      </w:r>
      <w:r>
        <w:rPr>
          <w:spacing w:val="-5"/>
          <w:sz w:val="22"/>
        </w:rPr>
        <w:t> </w:t>
      </w:r>
      <w:r>
        <w:rPr>
          <w:sz w:val="22"/>
        </w:rPr>
        <w:t>with</w:t>
      </w:r>
      <w:r>
        <w:rPr>
          <w:spacing w:val="-5"/>
          <w:sz w:val="22"/>
        </w:rPr>
        <w:t> </w:t>
      </w:r>
      <w:r>
        <w:rPr>
          <w:sz w:val="22"/>
        </w:rPr>
        <w:t>changes</w:t>
      </w:r>
      <w:r>
        <w:rPr>
          <w:spacing w:val="-5"/>
          <w:sz w:val="22"/>
        </w:rPr>
        <w:t> </w:t>
      </w:r>
      <w:r>
        <w:rPr>
          <w:sz w:val="22"/>
        </w:rPr>
        <w:t>from</w:t>
      </w:r>
      <w:r>
        <w:rPr>
          <w:spacing w:val="-4"/>
          <w:sz w:val="22"/>
        </w:rPr>
        <w:t> </w:t>
      </w:r>
      <w:r>
        <w:rPr>
          <w:sz w:val="22"/>
        </w:rPr>
        <w:t>the</w:t>
      </w:r>
      <w:r>
        <w:rPr>
          <w:spacing w:val="-5"/>
          <w:sz w:val="22"/>
        </w:rPr>
        <w:t> </w:t>
      </w:r>
      <w:r>
        <w:rPr>
          <w:sz w:val="22"/>
        </w:rPr>
        <w:t>prior</w:t>
      </w:r>
      <w:r>
        <w:rPr>
          <w:spacing w:val="-5"/>
          <w:sz w:val="22"/>
        </w:rPr>
        <w:t> </w:t>
      </w:r>
      <w:r>
        <w:rPr>
          <w:sz w:val="22"/>
        </w:rPr>
        <w:t>year</w:t>
      </w:r>
      <w:r>
        <w:rPr>
          <w:spacing w:val="-4"/>
          <w:sz w:val="22"/>
        </w:rPr>
        <w:t> </w:t>
      </w:r>
      <w:r>
        <w:rPr>
          <w:spacing w:val="-2"/>
          <w:sz w:val="22"/>
        </w:rPr>
        <w:t>identified;</w:t>
      </w:r>
    </w:p>
    <w:p>
      <w:pPr>
        <w:pStyle w:val="BodyText"/>
      </w:pPr>
    </w:p>
    <w:p>
      <w:pPr>
        <w:pStyle w:val="ListParagraph"/>
        <w:numPr>
          <w:ilvl w:val="1"/>
          <w:numId w:val="1"/>
        </w:numPr>
        <w:tabs>
          <w:tab w:pos="1438" w:val="left" w:leader="none"/>
          <w:tab w:pos="1440" w:val="left" w:leader="none"/>
        </w:tabs>
        <w:spacing w:line="240" w:lineRule="auto" w:before="0" w:after="0"/>
        <w:ind w:left="1440" w:right="237" w:hanging="360"/>
        <w:jc w:val="left"/>
        <w:rPr>
          <w:sz w:val="22"/>
        </w:rPr>
      </w:pPr>
      <w:r>
        <w:rPr>
          <w:sz w:val="22"/>
        </w:rPr>
        <w:t>A comprehensive accounting of all SGO expenditures and disbursements to public, private</w:t>
      </w:r>
      <w:r>
        <w:rPr>
          <w:spacing w:val="-4"/>
          <w:sz w:val="22"/>
        </w:rPr>
        <w:t> </w:t>
      </w:r>
      <w:r>
        <w:rPr>
          <w:sz w:val="22"/>
        </w:rPr>
        <w:t>or</w:t>
      </w:r>
      <w:r>
        <w:rPr>
          <w:spacing w:val="-4"/>
          <w:sz w:val="22"/>
        </w:rPr>
        <w:t> </w:t>
      </w:r>
      <w:r>
        <w:rPr>
          <w:sz w:val="22"/>
        </w:rPr>
        <w:t>religious</w:t>
      </w:r>
      <w:r>
        <w:rPr>
          <w:spacing w:val="-4"/>
          <w:sz w:val="22"/>
        </w:rPr>
        <w:t> </w:t>
      </w:r>
      <w:r>
        <w:rPr>
          <w:sz w:val="22"/>
        </w:rPr>
        <w:t>schools</w:t>
      </w:r>
      <w:r>
        <w:rPr>
          <w:spacing w:val="-4"/>
          <w:sz w:val="22"/>
        </w:rPr>
        <w:t> </w:t>
      </w:r>
      <w:r>
        <w:rPr>
          <w:sz w:val="22"/>
        </w:rPr>
        <w:t>and</w:t>
      </w:r>
      <w:r>
        <w:rPr>
          <w:spacing w:val="-4"/>
          <w:sz w:val="22"/>
        </w:rPr>
        <w:t> </w:t>
      </w:r>
      <w:r>
        <w:rPr>
          <w:sz w:val="22"/>
        </w:rPr>
        <w:t>vendors,</w:t>
      </w:r>
      <w:r>
        <w:rPr>
          <w:spacing w:val="-4"/>
          <w:sz w:val="22"/>
        </w:rPr>
        <w:t> </w:t>
      </w:r>
      <w:r>
        <w:rPr>
          <w:sz w:val="22"/>
        </w:rPr>
        <w:t>categorized</w:t>
      </w:r>
      <w:r>
        <w:rPr>
          <w:spacing w:val="-4"/>
          <w:sz w:val="22"/>
        </w:rPr>
        <w:t> </w:t>
      </w:r>
      <w:r>
        <w:rPr>
          <w:sz w:val="22"/>
        </w:rPr>
        <w:t>by</w:t>
      </w:r>
      <w:r>
        <w:rPr>
          <w:spacing w:val="-4"/>
          <w:sz w:val="22"/>
        </w:rPr>
        <w:t> </w:t>
      </w:r>
      <w:r>
        <w:rPr>
          <w:sz w:val="22"/>
        </w:rPr>
        <w:t>qualified</w:t>
      </w:r>
      <w:r>
        <w:rPr>
          <w:spacing w:val="-4"/>
          <w:sz w:val="22"/>
        </w:rPr>
        <w:t> </w:t>
      </w:r>
      <w:r>
        <w:rPr>
          <w:sz w:val="22"/>
        </w:rPr>
        <w:t>educational</w:t>
      </w:r>
      <w:r>
        <w:rPr>
          <w:spacing w:val="-4"/>
          <w:sz w:val="22"/>
        </w:rPr>
        <w:t> </w:t>
      </w:r>
      <w:r>
        <w:rPr>
          <w:sz w:val="22"/>
        </w:rPr>
        <w:t>expense (e.g., tuition, tutoring, special education services);</w:t>
      </w:r>
    </w:p>
    <w:p>
      <w:pPr>
        <w:pStyle w:val="BodyText"/>
        <w:spacing w:before="1"/>
      </w:pPr>
    </w:p>
    <w:p>
      <w:pPr>
        <w:pStyle w:val="ListParagraph"/>
        <w:numPr>
          <w:ilvl w:val="1"/>
          <w:numId w:val="1"/>
        </w:numPr>
        <w:tabs>
          <w:tab w:pos="1438" w:val="left" w:leader="none"/>
          <w:tab w:pos="1440" w:val="left" w:leader="none"/>
        </w:tabs>
        <w:spacing w:line="240" w:lineRule="auto" w:before="0" w:after="0"/>
        <w:ind w:left="1440" w:right="72" w:hanging="360"/>
        <w:jc w:val="left"/>
        <w:rPr>
          <w:sz w:val="22"/>
        </w:rPr>
      </w:pPr>
      <w:r>
        <w:rPr>
          <w:sz w:val="22"/>
        </w:rPr>
        <w:t>The</w:t>
      </w:r>
      <w:r>
        <w:rPr>
          <w:spacing w:val="-4"/>
          <w:sz w:val="22"/>
        </w:rPr>
        <w:t> </w:t>
      </w:r>
      <w:r>
        <w:rPr>
          <w:sz w:val="22"/>
        </w:rPr>
        <w:t>number</w:t>
      </w:r>
      <w:r>
        <w:rPr>
          <w:spacing w:val="-4"/>
          <w:sz w:val="22"/>
        </w:rPr>
        <w:t> </w:t>
      </w:r>
      <w:r>
        <w:rPr>
          <w:sz w:val="22"/>
        </w:rPr>
        <w:t>of</w:t>
      </w:r>
      <w:r>
        <w:rPr>
          <w:spacing w:val="-4"/>
          <w:sz w:val="22"/>
        </w:rPr>
        <w:t> </w:t>
      </w:r>
      <w:r>
        <w:rPr>
          <w:sz w:val="22"/>
        </w:rPr>
        <w:t>participating</w:t>
      </w:r>
      <w:r>
        <w:rPr>
          <w:spacing w:val="-4"/>
          <w:sz w:val="22"/>
        </w:rPr>
        <w:t> </w:t>
      </w:r>
      <w:r>
        <w:rPr>
          <w:sz w:val="22"/>
        </w:rPr>
        <w:t>students,</w:t>
      </w:r>
      <w:r>
        <w:rPr>
          <w:spacing w:val="-4"/>
          <w:sz w:val="22"/>
        </w:rPr>
        <w:t> </w:t>
      </w:r>
      <w:r>
        <w:rPr>
          <w:sz w:val="22"/>
        </w:rPr>
        <w:t>with</w:t>
      </w:r>
      <w:r>
        <w:rPr>
          <w:spacing w:val="-4"/>
          <w:sz w:val="22"/>
        </w:rPr>
        <w:t> </w:t>
      </w:r>
      <w:r>
        <w:rPr>
          <w:sz w:val="22"/>
        </w:rPr>
        <w:t>data</w:t>
      </w:r>
      <w:r>
        <w:rPr>
          <w:spacing w:val="-4"/>
          <w:sz w:val="22"/>
        </w:rPr>
        <w:t> </w:t>
      </w:r>
      <w:r>
        <w:rPr>
          <w:sz w:val="22"/>
        </w:rPr>
        <w:t>disaggregated</w:t>
      </w:r>
      <w:r>
        <w:rPr>
          <w:spacing w:val="-4"/>
          <w:sz w:val="22"/>
        </w:rPr>
        <w:t> </w:t>
      </w:r>
      <w:r>
        <w:rPr>
          <w:sz w:val="22"/>
        </w:rPr>
        <w:t>by</w:t>
      </w:r>
      <w:r>
        <w:rPr>
          <w:spacing w:val="-4"/>
          <w:sz w:val="22"/>
        </w:rPr>
        <w:t> </w:t>
      </w:r>
      <w:r>
        <w:rPr>
          <w:sz w:val="22"/>
        </w:rPr>
        <w:t>race,</w:t>
      </w:r>
      <w:r>
        <w:rPr>
          <w:spacing w:val="-4"/>
          <w:sz w:val="22"/>
        </w:rPr>
        <w:t> </w:t>
      </w:r>
      <w:r>
        <w:rPr>
          <w:sz w:val="22"/>
        </w:rPr>
        <w:t>socio-economic, disability, English Learner status and total enrollment for each participating school;</w:t>
      </w:r>
    </w:p>
    <w:p>
      <w:pPr>
        <w:pStyle w:val="BodyText"/>
        <w:spacing w:before="3"/>
      </w:pPr>
    </w:p>
    <w:p>
      <w:pPr>
        <w:pStyle w:val="ListParagraph"/>
        <w:numPr>
          <w:ilvl w:val="1"/>
          <w:numId w:val="1"/>
        </w:numPr>
        <w:tabs>
          <w:tab w:pos="1438" w:val="left" w:leader="none"/>
          <w:tab w:pos="1440" w:val="left" w:leader="none"/>
        </w:tabs>
        <w:spacing w:line="237" w:lineRule="auto" w:before="0" w:after="0"/>
        <w:ind w:left="1440" w:right="205" w:hanging="360"/>
        <w:jc w:val="left"/>
        <w:rPr>
          <w:sz w:val="22"/>
        </w:rPr>
      </w:pPr>
      <w:r>
        <w:rPr>
          <w:sz w:val="22"/>
        </w:rPr>
        <w:t>If the schools / vendors that receive SGO funds have any policies/or practices that exclude</w:t>
      </w:r>
      <w:r>
        <w:rPr>
          <w:spacing w:val="-4"/>
          <w:sz w:val="22"/>
        </w:rPr>
        <w:t> </w:t>
      </w:r>
      <w:r>
        <w:rPr>
          <w:sz w:val="22"/>
        </w:rPr>
        <w:t>students</w:t>
      </w:r>
      <w:r>
        <w:rPr>
          <w:spacing w:val="-4"/>
          <w:sz w:val="22"/>
        </w:rPr>
        <w:t> </w:t>
      </w:r>
      <w:r>
        <w:rPr>
          <w:sz w:val="22"/>
        </w:rPr>
        <w:t>with</w:t>
      </w:r>
      <w:r>
        <w:rPr>
          <w:spacing w:val="-4"/>
          <w:sz w:val="22"/>
        </w:rPr>
        <w:t> </w:t>
      </w:r>
      <w:r>
        <w:rPr>
          <w:sz w:val="22"/>
        </w:rPr>
        <w:t>disabilities</w:t>
      </w:r>
      <w:r>
        <w:rPr>
          <w:spacing w:val="-4"/>
          <w:sz w:val="22"/>
        </w:rPr>
        <w:t> </w:t>
      </w:r>
      <w:r>
        <w:rPr>
          <w:sz w:val="22"/>
        </w:rPr>
        <w:t>from</w:t>
      </w:r>
      <w:r>
        <w:rPr>
          <w:spacing w:val="-4"/>
          <w:sz w:val="22"/>
        </w:rPr>
        <w:t> </w:t>
      </w:r>
      <w:r>
        <w:rPr>
          <w:sz w:val="22"/>
        </w:rPr>
        <w:t>participating</w:t>
      </w:r>
      <w:r>
        <w:rPr>
          <w:spacing w:val="-4"/>
          <w:sz w:val="22"/>
        </w:rPr>
        <w:t> </w:t>
      </w:r>
      <w:r>
        <w:rPr>
          <w:sz w:val="22"/>
        </w:rPr>
        <w:t>in</w:t>
      </w:r>
      <w:r>
        <w:rPr>
          <w:spacing w:val="-4"/>
          <w:sz w:val="22"/>
        </w:rPr>
        <w:t> </w:t>
      </w:r>
      <w:r>
        <w:rPr>
          <w:sz w:val="22"/>
        </w:rPr>
        <w:t>the</w:t>
      </w:r>
      <w:r>
        <w:rPr>
          <w:spacing w:val="-4"/>
          <w:sz w:val="22"/>
        </w:rPr>
        <w:t> </w:t>
      </w:r>
      <w:r>
        <w:rPr>
          <w:sz w:val="22"/>
        </w:rPr>
        <w:t>educational</w:t>
      </w:r>
      <w:r>
        <w:rPr>
          <w:spacing w:val="-4"/>
          <w:sz w:val="22"/>
        </w:rPr>
        <w:t> </w:t>
      </w:r>
      <w:r>
        <w:rPr>
          <w:sz w:val="22"/>
        </w:rPr>
        <w:t>program</w:t>
      </w:r>
      <w:r>
        <w:rPr>
          <w:spacing w:val="-4"/>
          <w:sz w:val="22"/>
        </w:rPr>
        <w:t> </w:t>
      </w:r>
      <w:r>
        <w:rPr>
          <w:sz w:val="22"/>
        </w:rPr>
        <w:t>that</w:t>
      </w:r>
      <w:r>
        <w:rPr>
          <w:spacing w:val="-4"/>
          <w:sz w:val="22"/>
        </w:rPr>
        <w:t> </w:t>
      </w:r>
      <w:r>
        <w:rPr>
          <w:sz w:val="22"/>
        </w:rPr>
        <w:t>is being funded; and</w:t>
      </w:r>
    </w:p>
    <w:p>
      <w:pPr>
        <w:pStyle w:val="BodyText"/>
        <w:spacing w:before="2"/>
      </w:pPr>
    </w:p>
    <w:p>
      <w:pPr>
        <w:pStyle w:val="ListParagraph"/>
        <w:numPr>
          <w:ilvl w:val="1"/>
          <w:numId w:val="1"/>
        </w:numPr>
        <w:tabs>
          <w:tab w:pos="1438" w:val="left" w:leader="none"/>
        </w:tabs>
        <w:spacing w:line="240" w:lineRule="auto" w:before="0" w:after="0"/>
        <w:ind w:left="1438" w:right="0" w:hanging="358"/>
        <w:jc w:val="left"/>
        <w:rPr>
          <w:sz w:val="22"/>
        </w:rPr>
      </w:pPr>
      <w:r>
        <w:rPr>
          <w:sz w:val="22"/>
        </w:rPr>
        <w:t>A</w:t>
      </w:r>
      <w:r>
        <w:rPr>
          <w:spacing w:val="-8"/>
          <w:sz w:val="22"/>
        </w:rPr>
        <w:t> </w:t>
      </w:r>
      <w:r>
        <w:rPr>
          <w:sz w:val="22"/>
        </w:rPr>
        <w:t>list</w:t>
      </w:r>
      <w:r>
        <w:rPr>
          <w:spacing w:val="-5"/>
          <w:sz w:val="22"/>
        </w:rPr>
        <w:t> </w:t>
      </w:r>
      <w:r>
        <w:rPr>
          <w:sz w:val="22"/>
        </w:rPr>
        <w:t>of</w:t>
      </w:r>
      <w:r>
        <w:rPr>
          <w:spacing w:val="-5"/>
          <w:sz w:val="22"/>
        </w:rPr>
        <w:t> </w:t>
      </w:r>
      <w:r>
        <w:rPr>
          <w:sz w:val="22"/>
        </w:rPr>
        <w:t>all</w:t>
      </w:r>
      <w:r>
        <w:rPr>
          <w:spacing w:val="-5"/>
          <w:sz w:val="22"/>
        </w:rPr>
        <w:t> </w:t>
      </w:r>
      <w:r>
        <w:rPr>
          <w:sz w:val="22"/>
        </w:rPr>
        <w:t>public</w:t>
      </w:r>
      <w:r>
        <w:rPr>
          <w:spacing w:val="-5"/>
          <w:sz w:val="22"/>
        </w:rPr>
        <w:t> </w:t>
      </w:r>
      <w:r>
        <w:rPr>
          <w:sz w:val="22"/>
        </w:rPr>
        <w:t>schools,</w:t>
      </w:r>
      <w:r>
        <w:rPr>
          <w:spacing w:val="-5"/>
          <w:sz w:val="22"/>
        </w:rPr>
        <w:t> </w:t>
      </w:r>
      <w:r>
        <w:rPr>
          <w:sz w:val="22"/>
        </w:rPr>
        <w:t>private</w:t>
      </w:r>
      <w:r>
        <w:rPr>
          <w:spacing w:val="-6"/>
          <w:sz w:val="22"/>
        </w:rPr>
        <w:t> </w:t>
      </w:r>
      <w:r>
        <w:rPr>
          <w:sz w:val="22"/>
        </w:rPr>
        <w:t>schools,</w:t>
      </w:r>
      <w:r>
        <w:rPr>
          <w:spacing w:val="-5"/>
          <w:sz w:val="22"/>
        </w:rPr>
        <w:t> </w:t>
      </w:r>
      <w:r>
        <w:rPr>
          <w:sz w:val="22"/>
        </w:rPr>
        <w:t>and</w:t>
      </w:r>
      <w:r>
        <w:rPr>
          <w:spacing w:val="-5"/>
          <w:sz w:val="22"/>
        </w:rPr>
        <w:t> </w:t>
      </w:r>
      <w:r>
        <w:rPr>
          <w:sz w:val="22"/>
        </w:rPr>
        <w:t>vendors</w:t>
      </w:r>
      <w:r>
        <w:rPr>
          <w:spacing w:val="-5"/>
          <w:sz w:val="22"/>
        </w:rPr>
        <w:t> </w:t>
      </w:r>
      <w:r>
        <w:rPr>
          <w:sz w:val="22"/>
        </w:rPr>
        <w:t>participating</w:t>
      </w:r>
      <w:r>
        <w:rPr>
          <w:spacing w:val="-5"/>
          <w:sz w:val="22"/>
        </w:rPr>
        <w:t> </w:t>
      </w:r>
      <w:r>
        <w:rPr>
          <w:sz w:val="22"/>
        </w:rPr>
        <w:t>in</w:t>
      </w:r>
      <w:r>
        <w:rPr>
          <w:spacing w:val="-5"/>
          <w:sz w:val="22"/>
        </w:rPr>
        <w:t> </w:t>
      </w:r>
      <w:r>
        <w:rPr>
          <w:sz w:val="22"/>
        </w:rPr>
        <w:t>the</w:t>
      </w:r>
      <w:r>
        <w:rPr>
          <w:spacing w:val="-5"/>
          <w:sz w:val="22"/>
        </w:rPr>
        <w:t> </w:t>
      </w:r>
      <w:r>
        <w:rPr>
          <w:spacing w:val="-2"/>
          <w:sz w:val="22"/>
        </w:rPr>
        <w:t>program.</w:t>
      </w:r>
    </w:p>
    <w:p>
      <w:pPr>
        <w:pStyle w:val="BodyText"/>
        <w:spacing w:before="240"/>
        <w:ind w:right="13"/>
      </w:pPr>
      <w:r>
        <w:rPr/>
        <w:t>In the case that the IRS and Treasury opt to disregard these essential recommendations, we still wish to address</w:t>
      </w:r>
      <w:r>
        <w:rPr>
          <w:spacing w:val="-3"/>
        </w:rPr>
        <w:t> </w:t>
      </w:r>
      <w:r>
        <w:rPr/>
        <w:t>the</w:t>
      </w:r>
      <w:r>
        <w:rPr>
          <w:spacing w:val="-3"/>
        </w:rPr>
        <w:t> </w:t>
      </w:r>
      <w:r>
        <w:rPr/>
        <w:t>underlying</w:t>
      </w:r>
      <w:r>
        <w:rPr>
          <w:spacing w:val="-3"/>
        </w:rPr>
        <w:t> </w:t>
      </w:r>
      <w:r>
        <w:rPr/>
        <w:t>question</w:t>
      </w:r>
      <w:r>
        <w:rPr>
          <w:spacing w:val="-3"/>
        </w:rPr>
        <w:t> </w:t>
      </w:r>
      <w:r>
        <w:rPr/>
        <w:t>posed</w:t>
      </w:r>
      <w:r>
        <w:rPr>
          <w:spacing w:val="-3"/>
        </w:rPr>
        <w:t> </w:t>
      </w:r>
      <w:r>
        <w:rPr/>
        <w:t>which</w:t>
      </w:r>
      <w:r>
        <w:rPr>
          <w:spacing w:val="-3"/>
        </w:rPr>
        <w:t> </w:t>
      </w:r>
      <w:r>
        <w:rPr/>
        <w:t>is:</w:t>
      </w:r>
      <w:r>
        <w:rPr>
          <w:spacing w:val="-2"/>
        </w:rPr>
        <w:t> </w:t>
      </w:r>
      <w:r>
        <w:rPr>
          <w:color w:val="222222"/>
        </w:rPr>
        <w:t>should</w:t>
      </w:r>
      <w:r>
        <w:rPr>
          <w:color w:val="222222"/>
          <w:spacing w:val="-3"/>
        </w:rPr>
        <w:t> </w:t>
      </w:r>
      <w:r>
        <w:rPr>
          <w:color w:val="222222"/>
        </w:rPr>
        <w:t>the</w:t>
      </w:r>
      <w:r>
        <w:rPr>
          <w:color w:val="222222"/>
          <w:spacing w:val="-3"/>
        </w:rPr>
        <w:t> </w:t>
      </w:r>
      <w:r>
        <w:rPr>
          <w:color w:val="222222"/>
        </w:rPr>
        <w:t>Federal</w:t>
      </w:r>
      <w:r>
        <w:rPr>
          <w:color w:val="222222"/>
          <w:spacing w:val="-3"/>
        </w:rPr>
        <w:t> </w:t>
      </w:r>
      <w:r>
        <w:rPr>
          <w:color w:val="222222"/>
        </w:rPr>
        <w:t>government</w:t>
      </w:r>
      <w:r>
        <w:rPr>
          <w:color w:val="222222"/>
          <w:spacing w:val="-4"/>
        </w:rPr>
        <w:t> </w:t>
      </w:r>
      <w:r>
        <w:rPr>
          <w:b/>
          <w:color w:val="222222"/>
        </w:rPr>
        <w:t>allow</w:t>
      </w:r>
      <w:r>
        <w:rPr>
          <w:b/>
          <w:color w:val="222222"/>
          <w:spacing w:val="-3"/>
        </w:rPr>
        <w:t> </w:t>
      </w:r>
      <w:r>
        <w:rPr>
          <w:color w:val="222222"/>
        </w:rPr>
        <w:t>or</w:t>
      </w:r>
      <w:r>
        <w:rPr>
          <w:color w:val="222222"/>
          <w:spacing w:val="-3"/>
        </w:rPr>
        <w:t> </w:t>
      </w:r>
      <w:r>
        <w:rPr>
          <w:b/>
          <w:color w:val="222222"/>
        </w:rPr>
        <w:t>prohibit</w:t>
      </w:r>
      <w:r>
        <w:rPr>
          <w:b/>
          <w:color w:val="222222"/>
          <w:spacing w:val="-2"/>
        </w:rPr>
        <w:t> </w:t>
      </w:r>
      <w:r>
        <w:rPr>
          <w:color w:val="222222"/>
        </w:rPr>
        <w:t>States from adding requirements as they opt-into the tax credit program and/or expand a [similar] existing one? Consistent with our recommendations above, CCD </w:t>
      </w:r>
      <w:r>
        <w:rPr>
          <w:color w:val="222222"/>
          <w:u w:val="single" w:color="222222"/>
        </w:rPr>
        <w:t>strongly recommends that States be</w:t>
      </w:r>
      <w:r>
        <w:rPr>
          <w:color w:val="222222"/>
          <w:spacing w:val="-1"/>
          <w:u w:val="single" w:color="222222"/>
        </w:rPr>
        <w:t> </w:t>
      </w:r>
      <w:r>
        <w:rPr>
          <w:i/>
          <w:color w:val="222222"/>
          <w:u w:val="single" w:color="222222"/>
        </w:rPr>
        <w:t>allowed</w:t>
      </w:r>
      <w:r>
        <w:rPr>
          <w:i/>
          <w:color w:val="222222"/>
          <w:u w:val="none"/>
        </w:rPr>
        <w:t> </w:t>
      </w:r>
      <w:r>
        <w:rPr>
          <w:color w:val="222222"/>
          <w:u w:val="none"/>
        </w:rPr>
        <w:t>to</w:t>
      </w:r>
    </w:p>
    <w:p>
      <w:pPr>
        <w:pStyle w:val="BodyText"/>
        <w:spacing w:before="1"/>
        <w:ind w:right="246"/>
      </w:pPr>
      <w:r>
        <w:rPr>
          <w:color w:val="222222"/>
        </w:rPr>
        <w:t>a) maintain any requirements that they currently require of existing programs (e.g. SGOs, voucher or voucher-like programs), and b) add any </w:t>
      </w:r>
      <w:r>
        <w:rPr>
          <w:i/>
          <w:color w:val="222222"/>
        </w:rPr>
        <w:t>new </w:t>
      </w:r>
      <w:r>
        <w:rPr>
          <w:color w:val="222222"/>
        </w:rPr>
        <w:t>requirements or data collection requirements that will ensure</w:t>
      </w:r>
      <w:r>
        <w:rPr>
          <w:color w:val="222222"/>
          <w:spacing w:val="-3"/>
        </w:rPr>
        <w:t> </w:t>
      </w:r>
      <w:r>
        <w:rPr/>
        <w:t>robust</w:t>
      </w:r>
      <w:r>
        <w:rPr>
          <w:spacing w:val="-3"/>
        </w:rPr>
        <w:t> </w:t>
      </w:r>
      <w:r>
        <w:rPr/>
        <w:t>transparency</w:t>
      </w:r>
      <w:r>
        <w:rPr>
          <w:spacing w:val="-3"/>
        </w:rPr>
        <w:t> </w:t>
      </w:r>
      <w:r>
        <w:rPr/>
        <w:t>in</w:t>
      </w:r>
      <w:r>
        <w:rPr>
          <w:spacing w:val="-3"/>
        </w:rPr>
        <w:t> </w:t>
      </w:r>
      <w:r>
        <w:rPr/>
        <w:t>the</w:t>
      </w:r>
      <w:r>
        <w:rPr>
          <w:spacing w:val="-3"/>
        </w:rPr>
        <w:t> </w:t>
      </w:r>
      <w:r>
        <w:rPr/>
        <w:t>implementation</w:t>
      </w:r>
      <w:r>
        <w:rPr>
          <w:spacing w:val="-3"/>
        </w:rPr>
        <w:t> </w:t>
      </w:r>
      <w:r>
        <w:rPr/>
        <w:t>of</w:t>
      </w:r>
      <w:r>
        <w:rPr>
          <w:spacing w:val="-3"/>
        </w:rPr>
        <w:t> </w:t>
      </w:r>
      <w:r>
        <w:rPr/>
        <w:t>the</w:t>
      </w:r>
      <w:r>
        <w:rPr>
          <w:spacing w:val="-3"/>
        </w:rPr>
        <w:t> </w:t>
      </w:r>
      <w:r>
        <w:rPr/>
        <w:t>program</w:t>
      </w:r>
      <w:r>
        <w:rPr>
          <w:spacing w:val="-3"/>
        </w:rPr>
        <w:t> </w:t>
      </w:r>
      <w:r>
        <w:rPr/>
        <w:t>for</w:t>
      </w:r>
      <w:r>
        <w:rPr>
          <w:spacing w:val="-3"/>
        </w:rPr>
        <w:t> </w:t>
      </w:r>
      <w:r>
        <w:rPr/>
        <w:t>all</w:t>
      </w:r>
      <w:r>
        <w:rPr>
          <w:spacing w:val="-3"/>
        </w:rPr>
        <w:t> </w:t>
      </w:r>
      <w:r>
        <w:rPr/>
        <w:t>participants</w:t>
      </w:r>
      <w:r>
        <w:rPr>
          <w:spacing w:val="-3"/>
        </w:rPr>
        <w:t> </w:t>
      </w:r>
      <w:r>
        <w:rPr/>
        <w:t>including</w:t>
      </w:r>
      <w:r>
        <w:rPr>
          <w:spacing w:val="-3"/>
        </w:rPr>
        <w:t> </w:t>
      </w:r>
      <w:r>
        <w:rPr/>
        <w:t>States, service providers and recipient students and their families.</w:t>
      </w:r>
    </w:p>
    <w:p>
      <w:pPr>
        <w:pStyle w:val="BodyText"/>
        <w:spacing w:line="489" w:lineRule="auto" w:before="241"/>
        <w:ind w:right="2630"/>
      </w:pPr>
      <w:r>
        <w:rPr>
          <w:color w:val="222222"/>
        </w:rPr>
        <w:t>If</w:t>
      </w:r>
      <w:r>
        <w:rPr>
          <w:color w:val="222222"/>
          <w:spacing w:val="-4"/>
        </w:rPr>
        <w:t> </w:t>
      </w:r>
      <w:r>
        <w:rPr>
          <w:color w:val="222222"/>
        </w:rPr>
        <w:t>you</w:t>
      </w:r>
      <w:r>
        <w:rPr>
          <w:color w:val="222222"/>
          <w:spacing w:val="-4"/>
        </w:rPr>
        <w:t> </w:t>
      </w:r>
      <w:r>
        <w:rPr>
          <w:color w:val="222222"/>
        </w:rPr>
        <w:t>have</w:t>
      </w:r>
      <w:r>
        <w:rPr>
          <w:color w:val="222222"/>
          <w:spacing w:val="-4"/>
        </w:rPr>
        <w:t> </w:t>
      </w:r>
      <w:r>
        <w:rPr>
          <w:color w:val="222222"/>
        </w:rPr>
        <w:t>any</w:t>
      </w:r>
      <w:r>
        <w:rPr>
          <w:color w:val="222222"/>
          <w:spacing w:val="-4"/>
        </w:rPr>
        <w:t> </w:t>
      </w:r>
      <w:r>
        <w:rPr>
          <w:color w:val="222222"/>
        </w:rPr>
        <w:t>questions,</w:t>
      </w:r>
      <w:r>
        <w:rPr>
          <w:color w:val="222222"/>
          <w:spacing w:val="-4"/>
        </w:rPr>
        <w:t> </w:t>
      </w:r>
      <w:r>
        <w:rPr>
          <w:color w:val="222222"/>
        </w:rPr>
        <w:t>please</w:t>
      </w:r>
      <w:r>
        <w:rPr>
          <w:color w:val="222222"/>
          <w:spacing w:val="-4"/>
        </w:rPr>
        <w:t> </w:t>
      </w:r>
      <w:r>
        <w:rPr>
          <w:color w:val="222222"/>
        </w:rPr>
        <w:t>reach</w:t>
      </w:r>
      <w:r>
        <w:rPr>
          <w:color w:val="222222"/>
          <w:spacing w:val="-4"/>
        </w:rPr>
        <w:t> </w:t>
      </w:r>
      <w:r>
        <w:rPr>
          <w:color w:val="222222"/>
        </w:rPr>
        <w:t>out</w:t>
      </w:r>
      <w:r>
        <w:rPr>
          <w:color w:val="222222"/>
          <w:spacing w:val="-4"/>
        </w:rPr>
        <w:t> </w:t>
      </w:r>
      <w:r>
        <w:rPr>
          <w:color w:val="222222"/>
        </w:rPr>
        <w:t>to</w:t>
      </w:r>
      <w:r>
        <w:rPr>
          <w:color w:val="222222"/>
          <w:spacing w:val="-4"/>
        </w:rPr>
        <w:t> </w:t>
      </w:r>
      <w:r>
        <w:rPr>
          <w:color w:val="222222"/>
        </w:rPr>
        <w:t>the</w:t>
      </w:r>
      <w:r>
        <w:rPr>
          <w:color w:val="222222"/>
          <w:spacing w:val="-4"/>
        </w:rPr>
        <w:t> </w:t>
      </w:r>
      <w:r>
        <w:rPr>
          <w:color w:val="222222"/>
        </w:rPr>
        <w:t>co-chairs</w:t>
      </w:r>
      <w:r>
        <w:rPr>
          <w:color w:val="222222"/>
          <w:spacing w:val="-4"/>
        </w:rPr>
        <w:t> </w:t>
      </w:r>
      <w:r>
        <w:rPr>
          <w:color w:val="222222"/>
        </w:rPr>
        <w:t>below. </w:t>
      </w:r>
      <w:r>
        <w:rPr>
          <w:color w:val="222222"/>
          <w:spacing w:val="-2"/>
        </w:rPr>
        <w:t>Sincerely,</w:t>
      </w:r>
    </w:p>
    <w:p>
      <w:pPr>
        <w:pStyle w:val="BodyText"/>
        <w:spacing w:before="4"/>
      </w:pPr>
      <w:r>
        <w:rPr>
          <w:color w:val="222222"/>
        </w:rPr>
        <w:t>Access</w:t>
      </w:r>
      <w:r>
        <w:rPr>
          <w:color w:val="222222"/>
          <w:spacing w:val="-6"/>
        </w:rPr>
        <w:t> </w:t>
      </w:r>
      <w:r>
        <w:rPr>
          <w:color w:val="222222"/>
        </w:rPr>
        <w:t>Ready,</w:t>
      </w:r>
      <w:r>
        <w:rPr>
          <w:color w:val="222222"/>
          <w:spacing w:val="-6"/>
        </w:rPr>
        <w:t> </w:t>
      </w:r>
      <w:r>
        <w:rPr>
          <w:color w:val="222222"/>
          <w:spacing w:val="-4"/>
        </w:rPr>
        <w:t>Inc.</w:t>
      </w:r>
    </w:p>
    <w:p>
      <w:pPr>
        <w:pStyle w:val="BodyText"/>
        <w:spacing w:line="273" w:lineRule="auto" w:before="39"/>
        <w:ind w:right="5503"/>
      </w:pPr>
      <w:r>
        <w:rPr>
          <w:color w:val="222222"/>
        </w:rPr>
        <w:t>American</w:t>
      </w:r>
      <w:r>
        <w:rPr>
          <w:color w:val="222222"/>
          <w:spacing w:val="-13"/>
        </w:rPr>
        <w:t> </w:t>
      </w:r>
      <w:r>
        <w:rPr>
          <w:color w:val="222222"/>
        </w:rPr>
        <w:t>Music</w:t>
      </w:r>
      <w:r>
        <w:rPr>
          <w:color w:val="222222"/>
          <w:spacing w:val="-12"/>
        </w:rPr>
        <w:t> </w:t>
      </w:r>
      <w:r>
        <w:rPr>
          <w:color w:val="222222"/>
        </w:rPr>
        <w:t>Therapy</w:t>
      </w:r>
      <w:r>
        <w:rPr>
          <w:color w:val="222222"/>
          <w:spacing w:val="-13"/>
        </w:rPr>
        <w:t> </w:t>
      </w:r>
      <w:r>
        <w:rPr>
          <w:color w:val="222222"/>
        </w:rPr>
        <w:t>Association Autism Society of America</w:t>
      </w:r>
    </w:p>
    <w:p>
      <w:pPr>
        <w:pStyle w:val="BodyText"/>
        <w:spacing w:before="6"/>
      </w:pPr>
      <w:r>
        <w:rPr>
          <w:color w:val="222222"/>
        </w:rPr>
        <w:t>Council</w:t>
      </w:r>
      <w:r>
        <w:rPr>
          <w:color w:val="222222"/>
          <w:spacing w:val="-7"/>
        </w:rPr>
        <w:t> </w:t>
      </w:r>
      <w:r>
        <w:rPr>
          <w:color w:val="222222"/>
        </w:rPr>
        <w:t>for</w:t>
      </w:r>
      <w:r>
        <w:rPr>
          <w:color w:val="222222"/>
          <w:spacing w:val="-7"/>
        </w:rPr>
        <w:t> </w:t>
      </w:r>
      <w:r>
        <w:rPr>
          <w:color w:val="222222"/>
        </w:rPr>
        <w:t>Exceptional</w:t>
      </w:r>
      <w:r>
        <w:rPr>
          <w:color w:val="222222"/>
          <w:spacing w:val="-7"/>
        </w:rPr>
        <w:t> </w:t>
      </w:r>
      <w:r>
        <w:rPr>
          <w:color w:val="222222"/>
          <w:spacing w:val="-2"/>
        </w:rPr>
        <w:t>Children</w:t>
      </w:r>
    </w:p>
    <w:p>
      <w:pPr>
        <w:pStyle w:val="BodyText"/>
        <w:spacing w:line="276" w:lineRule="auto" w:before="39"/>
        <w:ind w:right="5503"/>
      </w:pPr>
      <w:r>
        <w:rPr>
          <w:color w:val="222222"/>
        </w:rPr>
        <w:t>Council</w:t>
      </w:r>
      <w:r>
        <w:rPr>
          <w:color w:val="222222"/>
          <w:spacing w:val="-8"/>
        </w:rPr>
        <w:t> </w:t>
      </w:r>
      <w:r>
        <w:rPr>
          <w:color w:val="222222"/>
        </w:rPr>
        <w:t>of</w:t>
      </w:r>
      <w:r>
        <w:rPr>
          <w:color w:val="222222"/>
          <w:spacing w:val="-8"/>
        </w:rPr>
        <w:t> </w:t>
      </w:r>
      <w:r>
        <w:rPr>
          <w:color w:val="222222"/>
        </w:rPr>
        <w:t>Parent</w:t>
      </w:r>
      <w:r>
        <w:rPr>
          <w:color w:val="222222"/>
          <w:spacing w:val="-8"/>
        </w:rPr>
        <w:t> </w:t>
      </w:r>
      <w:r>
        <w:rPr>
          <w:color w:val="222222"/>
        </w:rPr>
        <w:t>Attorneys</w:t>
      </w:r>
      <w:r>
        <w:rPr>
          <w:color w:val="222222"/>
          <w:spacing w:val="-8"/>
        </w:rPr>
        <w:t> </w:t>
      </w:r>
      <w:r>
        <w:rPr>
          <w:color w:val="222222"/>
        </w:rPr>
        <w:t>and</w:t>
      </w:r>
      <w:r>
        <w:rPr>
          <w:color w:val="222222"/>
          <w:spacing w:val="-8"/>
        </w:rPr>
        <w:t> </w:t>
      </w:r>
      <w:r>
        <w:rPr>
          <w:color w:val="222222"/>
        </w:rPr>
        <w:t>Advocates National Center for Learning Disabilities National Disability Rights Network (NDRN)</w:t>
      </w:r>
    </w:p>
    <w:p>
      <w:pPr>
        <w:pStyle w:val="BodyText"/>
        <w:spacing w:after="0" w:line="276" w:lineRule="auto"/>
        <w:sectPr>
          <w:pgSz w:w="12240" w:h="15840"/>
          <w:pgMar w:top="1360" w:bottom="280" w:left="1440" w:right="1440"/>
        </w:sectPr>
      </w:pPr>
    </w:p>
    <w:p>
      <w:pPr>
        <w:pStyle w:val="BodyText"/>
        <w:spacing w:before="81"/>
      </w:pPr>
      <w:r>
        <w:rPr>
          <w:color w:val="222222"/>
        </w:rPr>
        <w:t>Perkins</w:t>
      </w:r>
      <w:r>
        <w:rPr>
          <w:color w:val="222222"/>
          <w:spacing w:val="-5"/>
        </w:rPr>
        <w:t> </w:t>
      </w:r>
      <w:r>
        <w:rPr>
          <w:color w:val="222222"/>
        </w:rPr>
        <w:t>School</w:t>
      </w:r>
      <w:r>
        <w:rPr>
          <w:color w:val="222222"/>
          <w:spacing w:val="-5"/>
        </w:rPr>
        <w:t> </w:t>
      </w:r>
      <w:r>
        <w:rPr>
          <w:color w:val="222222"/>
        </w:rPr>
        <w:t>for</w:t>
      </w:r>
      <w:r>
        <w:rPr>
          <w:color w:val="222222"/>
          <w:spacing w:val="-5"/>
        </w:rPr>
        <w:t> </w:t>
      </w:r>
      <w:r>
        <w:rPr>
          <w:color w:val="222222"/>
        </w:rPr>
        <w:t>the</w:t>
      </w:r>
      <w:r>
        <w:rPr>
          <w:color w:val="222222"/>
          <w:spacing w:val="-4"/>
        </w:rPr>
        <w:t> </w:t>
      </w:r>
      <w:r>
        <w:rPr>
          <w:color w:val="222222"/>
          <w:spacing w:val="-2"/>
        </w:rPr>
        <w:t>Blind</w:t>
      </w:r>
    </w:p>
    <w:p>
      <w:pPr>
        <w:pStyle w:val="BodyText"/>
        <w:spacing w:line="278" w:lineRule="auto" w:before="39"/>
        <w:ind w:right="5568"/>
      </w:pPr>
      <w:r>
        <w:rPr>
          <w:color w:val="222222"/>
        </w:rPr>
        <w:t>SPAN</w:t>
      </w:r>
      <w:r>
        <w:rPr>
          <w:color w:val="222222"/>
          <w:spacing w:val="-10"/>
        </w:rPr>
        <w:t> </w:t>
      </w:r>
      <w:r>
        <w:rPr>
          <w:color w:val="222222"/>
        </w:rPr>
        <w:t>Parent</w:t>
      </w:r>
      <w:r>
        <w:rPr>
          <w:color w:val="222222"/>
          <w:spacing w:val="-10"/>
        </w:rPr>
        <w:t> </w:t>
      </w:r>
      <w:r>
        <w:rPr>
          <w:color w:val="222222"/>
        </w:rPr>
        <w:t>Advocacy</w:t>
      </w:r>
      <w:r>
        <w:rPr>
          <w:color w:val="222222"/>
          <w:spacing w:val="-10"/>
        </w:rPr>
        <w:t> </w:t>
      </w:r>
      <w:r>
        <w:rPr>
          <w:color w:val="222222"/>
        </w:rPr>
        <w:t>Network</w:t>
      </w:r>
      <w:r>
        <w:rPr>
          <w:color w:val="222222"/>
          <w:spacing w:val="-10"/>
        </w:rPr>
        <w:t> </w:t>
      </w:r>
      <w:r>
        <w:rPr>
          <w:color w:val="222222"/>
        </w:rPr>
        <w:t>(SPAN) The Advocacy Institute</w:t>
      </w:r>
    </w:p>
    <w:p>
      <w:pPr>
        <w:pStyle w:val="BodyText"/>
        <w:spacing w:line="273" w:lineRule="auto"/>
        <w:ind w:right="6658"/>
      </w:pPr>
      <w:r>
        <w:rPr>
          <w:color w:val="222222"/>
        </w:rPr>
        <w:t>The Arc of the United States The</w:t>
      </w:r>
      <w:r>
        <w:rPr>
          <w:color w:val="222222"/>
          <w:spacing w:val="-10"/>
        </w:rPr>
        <w:t> </w:t>
      </w:r>
      <w:r>
        <w:rPr>
          <w:color w:val="222222"/>
        </w:rPr>
        <w:t>Center</w:t>
      </w:r>
      <w:r>
        <w:rPr>
          <w:color w:val="222222"/>
          <w:spacing w:val="-10"/>
        </w:rPr>
        <w:t> </w:t>
      </w:r>
      <w:r>
        <w:rPr>
          <w:color w:val="222222"/>
        </w:rPr>
        <w:t>for</w:t>
      </w:r>
      <w:r>
        <w:rPr>
          <w:color w:val="222222"/>
          <w:spacing w:val="-10"/>
        </w:rPr>
        <w:t> </w:t>
      </w:r>
      <w:r>
        <w:rPr>
          <w:color w:val="222222"/>
        </w:rPr>
        <w:t>Learner</w:t>
      </w:r>
      <w:r>
        <w:rPr>
          <w:color w:val="222222"/>
          <w:spacing w:val="-10"/>
        </w:rPr>
        <w:t> </w:t>
      </w:r>
      <w:r>
        <w:rPr>
          <w:color w:val="222222"/>
        </w:rPr>
        <w:t>Equity</w:t>
      </w:r>
    </w:p>
    <w:p>
      <w:pPr>
        <w:pStyle w:val="BodyText"/>
      </w:pPr>
    </w:p>
    <w:p>
      <w:pPr>
        <w:pStyle w:val="BodyText"/>
        <w:spacing w:before="251"/>
      </w:pPr>
    </w:p>
    <w:p>
      <w:pPr>
        <w:pStyle w:val="BodyText"/>
        <w:spacing w:before="1"/>
        <w:ind w:left="49"/>
        <w:rPr>
          <w:rFonts w:ascii="Arial"/>
        </w:rPr>
      </w:pPr>
      <w:r>
        <w:rPr>
          <w:rFonts w:ascii="Arial"/>
        </w:rPr>
        <w:t>For</w:t>
      </w:r>
      <w:r>
        <w:rPr>
          <w:rFonts w:ascii="Arial"/>
          <w:spacing w:val="-7"/>
        </w:rPr>
        <w:t> </w:t>
      </w:r>
      <w:r>
        <w:rPr>
          <w:rFonts w:ascii="Arial"/>
        </w:rPr>
        <w:t>questions</w:t>
      </w:r>
      <w:r>
        <w:rPr>
          <w:rFonts w:ascii="Arial"/>
          <w:spacing w:val="-7"/>
        </w:rPr>
        <w:t> </w:t>
      </w:r>
      <w:r>
        <w:rPr>
          <w:rFonts w:ascii="Arial"/>
        </w:rPr>
        <w:t>or</w:t>
      </w:r>
      <w:r>
        <w:rPr>
          <w:rFonts w:ascii="Arial"/>
          <w:spacing w:val="-7"/>
        </w:rPr>
        <w:t> </w:t>
      </w:r>
      <w:r>
        <w:rPr>
          <w:rFonts w:ascii="Arial"/>
        </w:rPr>
        <w:t>additional</w:t>
      </w:r>
      <w:r>
        <w:rPr>
          <w:rFonts w:ascii="Arial"/>
          <w:spacing w:val="-7"/>
        </w:rPr>
        <w:t> </w:t>
      </w:r>
      <w:r>
        <w:rPr>
          <w:rFonts w:ascii="Arial"/>
        </w:rPr>
        <w:t>information</w:t>
      </w:r>
      <w:r>
        <w:rPr>
          <w:rFonts w:ascii="Arial"/>
          <w:spacing w:val="-7"/>
        </w:rPr>
        <w:t> </w:t>
      </w:r>
      <w:r>
        <w:rPr>
          <w:rFonts w:ascii="Arial"/>
        </w:rPr>
        <w:t>please</w:t>
      </w:r>
      <w:r>
        <w:rPr>
          <w:rFonts w:ascii="Arial"/>
          <w:spacing w:val="-7"/>
        </w:rPr>
        <w:t> </w:t>
      </w:r>
      <w:r>
        <w:rPr>
          <w:rFonts w:ascii="Arial"/>
        </w:rPr>
        <w:t>contact:</w:t>
      </w:r>
      <w:r>
        <w:rPr>
          <w:rFonts w:ascii="Arial"/>
          <w:spacing w:val="-7"/>
        </w:rPr>
        <w:t> </w:t>
      </w:r>
      <w:r>
        <w:rPr>
          <w:rFonts w:ascii="Arial"/>
        </w:rPr>
        <w:t>CCD</w:t>
      </w:r>
      <w:r>
        <w:rPr>
          <w:rFonts w:ascii="Arial"/>
          <w:spacing w:val="-7"/>
        </w:rPr>
        <w:t> </w:t>
      </w:r>
      <w:r>
        <w:rPr>
          <w:rFonts w:ascii="Arial"/>
        </w:rPr>
        <w:t>Education</w:t>
      </w:r>
      <w:r>
        <w:rPr>
          <w:rFonts w:ascii="Arial"/>
          <w:spacing w:val="-7"/>
        </w:rPr>
        <w:t> </w:t>
      </w:r>
      <w:r>
        <w:rPr>
          <w:rFonts w:ascii="Arial"/>
        </w:rPr>
        <w:t>Task</w:t>
      </w:r>
      <w:r>
        <w:rPr>
          <w:rFonts w:ascii="Arial"/>
          <w:spacing w:val="-7"/>
        </w:rPr>
        <w:t> </w:t>
      </w:r>
      <w:r>
        <w:rPr>
          <w:rFonts w:ascii="Arial"/>
        </w:rPr>
        <w:t>Force</w:t>
      </w:r>
      <w:r>
        <w:rPr>
          <w:rFonts w:ascii="Arial"/>
          <w:spacing w:val="-6"/>
        </w:rPr>
        <w:t> </w:t>
      </w:r>
      <w:r>
        <w:rPr>
          <w:rFonts w:ascii="Arial"/>
        </w:rPr>
        <w:t>co-</w:t>
      </w:r>
      <w:r>
        <w:rPr>
          <w:rFonts w:ascii="Arial"/>
          <w:spacing w:val="-2"/>
        </w:rPr>
        <w:t>chairs:</w:t>
      </w:r>
    </w:p>
    <w:p>
      <w:pPr>
        <w:pStyle w:val="BodyText"/>
        <w:spacing w:before="8"/>
        <w:rPr>
          <w:rFonts w:ascii="Arial"/>
          <w:sz w:val="15"/>
        </w:rPr>
      </w:pPr>
    </w:p>
    <w:p>
      <w:pPr>
        <w:pStyle w:val="BodyText"/>
        <w:spacing w:after="0"/>
        <w:rPr>
          <w:rFonts w:ascii="Arial"/>
          <w:sz w:val="15"/>
        </w:rPr>
        <w:sectPr>
          <w:pgSz w:w="12240" w:h="15840"/>
          <w:pgMar w:top="1360" w:bottom="280" w:left="1440" w:right="1440"/>
        </w:sectPr>
      </w:pPr>
    </w:p>
    <w:p>
      <w:pPr>
        <w:pStyle w:val="BodyText"/>
        <w:spacing w:before="94"/>
        <w:ind w:left="105" w:right="38"/>
        <w:rPr>
          <w:rFonts w:ascii="Arial"/>
        </w:rPr>
      </w:pPr>
      <w:r>
        <w:rPr>
          <w:rFonts w:ascii="Arial"/>
        </w:rPr>
        <w:t>Delancy</w:t>
      </w:r>
      <w:r>
        <w:rPr>
          <w:rFonts w:ascii="Arial"/>
          <w:spacing w:val="-13"/>
        </w:rPr>
        <w:t> </w:t>
      </w:r>
      <w:r>
        <w:rPr>
          <w:rFonts w:ascii="Arial"/>
        </w:rPr>
        <w:t>Allred,</w:t>
      </w:r>
      <w:r>
        <w:rPr>
          <w:rFonts w:ascii="Arial"/>
          <w:spacing w:val="-13"/>
        </w:rPr>
        <w:t> </w:t>
      </w:r>
      <w:r>
        <w:rPr>
          <w:rFonts w:ascii="Arial"/>
        </w:rPr>
        <w:t>Autism</w:t>
      </w:r>
      <w:r>
        <w:rPr>
          <w:rFonts w:ascii="Arial"/>
          <w:spacing w:val="-13"/>
        </w:rPr>
        <w:t> </w:t>
      </w:r>
      <w:r>
        <w:rPr>
          <w:rFonts w:ascii="Arial"/>
        </w:rPr>
        <w:t>Society </w:t>
      </w:r>
      <w:hyperlink r:id="rId6">
        <w:r>
          <w:rPr>
            <w:rFonts w:ascii="Arial"/>
            <w:color w:val="0000FF"/>
            <w:spacing w:val="-2"/>
            <w:u w:val="single" w:color="0000FF"/>
          </w:rPr>
          <w:t>dallred@autismsociety.org</w:t>
        </w:r>
      </w:hyperlink>
    </w:p>
    <w:p>
      <w:pPr>
        <w:pStyle w:val="BodyText"/>
        <w:spacing w:before="94"/>
        <w:ind w:left="105" w:right="99"/>
        <w:rPr>
          <w:rFonts w:ascii="Arial"/>
        </w:rPr>
      </w:pPr>
      <w:r>
        <w:rPr/>
        <w:br w:type="column"/>
      </w:r>
      <w:r>
        <w:rPr>
          <w:rFonts w:ascii="Arial"/>
        </w:rPr>
        <w:t>Robyn</w:t>
      </w:r>
      <w:r>
        <w:rPr>
          <w:rFonts w:ascii="Arial"/>
          <w:spacing w:val="-6"/>
        </w:rPr>
        <w:t> </w:t>
      </w:r>
      <w:r>
        <w:rPr>
          <w:rFonts w:ascii="Arial"/>
        </w:rPr>
        <w:t>Linscott,</w:t>
      </w:r>
      <w:r>
        <w:rPr>
          <w:rFonts w:ascii="Arial"/>
          <w:spacing w:val="-6"/>
        </w:rPr>
        <w:t> </w:t>
      </w:r>
      <w:r>
        <w:rPr>
          <w:rFonts w:ascii="Arial"/>
        </w:rPr>
        <w:t>The</w:t>
      </w:r>
      <w:r>
        <w:rPr>
          <w:rFonts w:ascii="Arial"/>
          <w:spacing w:val="-6"/>
        </w:rPr>
        <w:t> </w:t>
      </w:r>
      <w:r>
        <w:rPr>
          <w:rFonts w:ascii="Arial"/>
        </w:rPr>
        <w:t>Arc</w:t>
      </w:r>
      <w:r>
        <w:rPr>
          <w:rFonts w:ascii="Arial"/>
          <w:spacing w:val="-6"/>
        </w:rPr>
        <w:t> </w:t>
      </w:r>
      <w:r>
        <w:rPr>
          <w:rFonts w:ascii="Arial"/>
        </w:rPr>
        <w:t>of</w:t>
      </w:r>
      <w:r>
        <w:rPr>
          <w:rFonts w:ascii="Arial"/>
          <w:spacing w:val="-6"/>
        </w:rPr>
        <w:t> </w:t>
      </w:r>
      <w:r>
        <w:rPr>
          <w:rFonts w:ascii="Arial"/>
        </w:rPr>
        <w:t>the</w:t>
      </w:r>
      <w:r>
        <w:rPr>
          <w:rFonts w:ascii="Arial"/>
          <w:spacing w:val="-6"/>
        </w:rPr>
        <w:t> </w:t>
      </w:r>
      <w:r>
        <w:rPr>
          <w:rFonts w:ascii="Arial"/>
        </w:rPr>
        <w:t>United</w:t>
      </w:r>
      <w:r>
        <w:rPr>
          <w:rFonts w:ascii="Arial"/>
          <w:spacing w:val="-6"/>
        </w:rPr>
        <w:t> </w:t>
      </w:r>
      <w:r>
        <w:rPr>
          <w:rFonts w:ascii="Arial"/>
        </w:rPr>
        <w:t>Staters </w:t>
      </w:r>
      <w:hyperlink r:id="rId7">
        <w:r>
          <w:rPr>
            <w:rFonts w:ascii="Arial"/>
            <w:color w:val="0000FF"/>
            <w:spacing w:val="-2"/>
            <w:u w:val="single" w:color="0000FF"/>
          </w:rPr>
          <w:t>linscott@thearc.org</w:t>
        </w:r>
      </w:hyperlink>
    </w:p>
    <w:p>
      <w:pPr>
        <w:pStyle w:val="BodyText"/>
        <w:spacing w:after="0"/>
        <w:rPr>
          <w:rFonts w:ascii="Arial"/>
        </w:rPr>
        <w:sectPr>
          <w:type w:val="continuous"/>
          <w:pgSz w:w="12240" w:h="15840"/>
          <w:pgMar w:top="720" w:bottom="280" w:left="1440" w:right="1440"/>
          <w:cols w:num="2" w:equalWidth="0">
            <w:col w:w="3142" w:space="1533"/>
            <w:col w:w="4685"/>
          </w:cols>
        </w:sectPr>
      </w:pPr>
    </w:p>
    <w:p>
      <w:pPr>
        <w:pStyle w:val="BodyText"/>
        <w:spacing w:before="9"/>
        <w:rPr>
          <w:rFonts w:ascii="Arial"/>
          <w:sz w:val="13"/>
        </w:rPr>
      </w:pPr>
    </w:p>
    <w:p>
      <w:pPr>
        <w:pStyle w:val="BodyText"/>
        <w:spacing w:after="0"/>
        <w:rPr>
          <w:rFonts w:ascii="Arial"/>
          <w:sz w:val="13"/>
        </w:rPr>
        <w:sectPr>
          <w:type w:val="continuous"/>
          <w:pgSz w:w="12240" w:h="15840"/>
          <w:pgMar w:top="720" w:bottom="280" w:left="1440" w:right="1440"/>
        </w:sectPr>
      </w:pPr>
    </w:p>
    <w:p>
      <w:pPr>
        <w:pStyle w:val="BodyText"/>
        <w:spacing w:before="94"/>
        <w:ind w:left="105" w:right="38"/>
        <w:rPr>
          <w:rFonts w:ascii="Arial"/>
        </w:rPr>
      </w:pPr>
      <w:r>
        <w:rPr>
          <w:rFonts w:ascii="Arial"/>
        </w:rPr>
        <w:t>Stephanie</w:t>
      </w:r>
      <w:r>
        <w:rPr>
          <w:rFonts w:ascii="Arial"/>
          <w:spacing w:val="-10"/>
        </w:rPr>
        <w:t> </w:t>
      </w:r>
      <w:r>
        <w:rPr>
          <w:rFonts w:ascii="Arial"/>
        </w:rPr>
        <w:t>Flynt</w:t>
      </w:r>
      <w:r>
        <w:rPr>
          <w:rFonts w:ascii="Arial"/>
          <w:spacing w:val="-10"/>
        </w:rPr>
        <w:t> </w:t>
      </w:r>
      <w:r>
        <w:rPr>
          <w:rFonts w:ascii="Arial"/>
        </w:rPr>
        <w:t>McEben,</w:t>
      </w:r>
      <w:r>
        <w:rPr>
          <w:rFonts w:ascii="Arial"/>
          <w:spacing w:val="-10"/>
        </w:rPr>
        <w:t> </w:t>
      </w:r>
      <w:r>
        <w:rPr>
          <w:rFonts w:ascii="Arial"/>
        </w:rPr>
        <w:t>National</w:t>
      </w:r>
      <w:r>
        <w:rPr>
          <w:rFonts w:ascii="Arial"/>
          <w:spacing w:val="-10"/>
        </w:rPr>
        <w:t> </w:t>
      </w:r>
      <w:r>
        <w:rPr>
          <w:rFonts w:ascii="Arial"/>
        </w:rPr>
        <w:t>Disability Rights Network </w:t>
      </w:r>
      <w:hyperlink r:id="rId8">
        <w:r>
          <w:rPr>
            <w:rFonts w:ascii="Arial"/>
            <w:color w:val="0000FF"/>
            <w:spacing w:val="-2"/>
            <w:u w:val="single" w:color="0000FF"/>
          </w:rPr>
          <w:t>Stephanie.mceben@ndrn.org</w:t>
        </w:r>
      </w:hyperlink>
    </w:p>
    <w:p>
      <w:pPr>
        <w:pStyle w:val="BodyText"/>
        <w:spacing w:before="94"/>
        <w:ind w:left="105" w:right="99"/>
        <w:rPr>
          <w:rFonts w:ascii="Arial"/>
        </w:rPr>
      </w:pPr>
      <w:r>
        <w:rPr/>
        <w:br w:type="column"/>
      </w:r>
      <w:r>
        <w:rPr>
          <w:rFonts w:ascii="Arial"/>
        </w:rPr>
        <w:t>Laura Kaloi, Center for Learner Equity, Council</w:t>
      </w:r>
      <w:r>
        <w:rPr>
          <w:rFonts w:ascii="Arial"/>
          <w:spacing w:val="-7"/>
        </w:rPr>
        <w:t> </w:t>
      </w:r>
      <w:r>
        <w:rPr>
          <w:rFonts w:ascii="Arial"/>
        </w:rPr>
        <w:t>of</w:t>
      </w:r>
      <w:r>
        <w:rPr>
          <w:rFonts w:ascii="Arial"/>
          <w:spacing w:val="-7"/>
        </w:rPr>
        <w:t> </w:t>
      </w:r>
      <w:r>
        <w:rPr>
          <w:rFonts w:ascii="Arial"/>
        </w:rPr>
        <w:t>Parent</w:t>
      </w:r>
      <w:r>
        <w:rPr>
          <w:rFonts w:ascii="Arial"/>
          <w:spacing w:val="-7"/>
        </w:rPr>
        <w:t> </w:t>
      </w:r>
      <w:r>
        <w:rPr>
          <w:rFonts w:ascii="Arial"/>
        </w:rPr>
        <w:t>Attorneys</w:t>
      </w:r>
      <w:r>
        <w:rPr>
          <w:rFonts w:ascii="Arial"/>
          <w:spacing w:val="-7"/>
        </w:rPr>
        <w:t> </w:t>
      </w:r>
      <w:r>
        <w:rPr>
          <w:rFonts w:ascii="Arial"/>
        </w:rPr>
        <w:t>and</w:t>
      </w:r>
      <w:r>
        <w:rPr>
          <w:rFonts w:ascii="Arial"/>
          <w:spacing w:val="-8"/>
        </w:rPr>
        <w:t> </w:t>
      </w:r>
      <w:r>
        <w:rPr>
          <w:rFonts w:ascii="Arial"/>
        </w:rPr>
        <w:t>Advocates </w:t>
      </w:r>
      <w:hyperlink r:id="rId9">
        <w:r>
          <w:rPr>
            <w:rFonts w:ascii="Arial"/>
            <w:color w:val="0000FF"/>
            <w:spacing w:val="-2"/>
            <w:u w:val="single" w:color="0000FF"/>
          </w:rPr>
          <w:t>lkaloi@stridepolicy.com</w:t>
        </w:r>
      </w:hyperlink>
    </w:p>
    <w:p>
      <w:pPr>
        <w:pStyle w:val="BodyText"/>
        <w:spacing w:after="0"/>
        <w:rPr>
          <w:rFonts w:ascii="Arial"/>
        </w:rPr>
        <w:sectPr>
          <w:type w:val="continuous"/>
          <w:pgSz w:w="12240" w:h="15840"/>
          <w:pgMar w:top="720" w:bottom="280" w:left="1440" w:right="1440"/>
          <w:cols w:num="2" w:equalWidth="0">
            <w:col w:w="4414" w:space="261"/>
            <w:col w:w="4685"/>
          </w:cols>
        </w:sectPr>
      </w:pPr>
    </w:p>
    <w:p>
      <w:pPr>
        <w:pStyle w:val="BodyText"/>
        <w:spacing w:before="1"/>
        <w:rPr>
          <w:rFonts w:ascii="Arial"/>
        </w:rPr>
      </w:pPr>
    </w:p>
    <w:p>
      <w:pPr>
        <w:pStyle w:val="BodyText"/>
        <w:ind w:left="105" w:right="5503"/>
        <w:rPr>
          <w:rFonts w:ascii="Arial"/>
        </w:rPr>
      </w:pPr>
      <w:r>
        <w:rPr>
          <w:rFonts w:ascii="Arial"/>
        </w:rPr>
        <w:t>Lindsay</w:t>
      </w:r>
      <w:r>
        <w:rPr>
          <w:rFonts w:ascii="Arial"/>
          <w:spacing w:val="-10"/>
        </w:rPr>
        <w:t> </w:t>
      </w:r>
      <w:r>
        <w:rPr>
          <w:rFonts w:ascii="Arial"/>
        </w:rPr>
        <w:t>Kubatzky,</w:t>
      </w:r>
      <w:r>
        <w:rPr>
          <w:rFonts w:ascii="Arial"/>
          <w:spacing w:val="-10"/>
        </w:rPr>
        <w:t> </w:t>
      </w:r>
      <w:r>
        <w:rPr>
          <w:rFonts w:ascii="Arial"/>
        </w:rPr>
        <w:t>National</w:t>
      </w:r>
      <w:r>
        <w:rPr>
          <w:rFonts w:ascii="Arial"/>
          <w:spacing w:val="-10"/>
        </w:rPr>
        <w:t> </w:t>
      </w:r>
      <w:r>
        <w:rPr>
          <w:rFonts w:ascii="Arial"/>
        </w:rPr>
        <w:t>Center</w:t>
      </w:r>
      <w:r>
        <w:rPr>
          <w:rFonts w:ascii="Arial"/>
          <w:spacing w:val="-10"/>
        </w:rPr>
        <w:t> </w:t>
      </w:r>
      <w:r>
        <w:rPr>
          <w:rFonts w:ascii="Arial"/>
        </w:rPr>
        <w:t>for Learning Disabilities </w:t>
      </w:r>
      <w:hyperlink r:id="rId10">
        <w:r>
          <w:rPr>
            <w:rFonts w:ascii="Arial"/>
            <w:color w:val="0000FF"/>
            <w:spacing w:val="-2"/>
            <w:u w:val="single" w:color="0000FF"/>
          </w:rPr>
          <w:t>lkubatzky@ncld.org</w:t>
        </w:r>
      </w:hyperlink>
    </w:p>
    <w:sectPr>
      <w:type w:val="continuous"/>
      <w:pgSz w:w="12240" w:h="15840"/>
      <w:pgMar w:top="7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0" w:hanging="411"/>
        <w:jc w:val="left"/>
      </w:pPr>
      <w:rPr>
        <w:rFonts w:hint="default" w:ascii="Calibri" w:hAnsi="Calibri" w:eastAsia="Calibri" w:cs="Calibri"/>
        <w:b/>
        <w:bCs/>
        <w:i w:val="0"/>
        <w:iCs w:val="0"/>
        <w:spacing w:val="-1"/>
        <w:w w:val="100"/>
        <w:sz w:val="22"/>
        <w:szCs w:val="22"/>
        <w:lang w:val="en-US" w:eastAsia="en-US" w:bidi="ar-SA"/>
      </w:rPr>
    </w:lvl>
    <w:lvl w:ilvl="1">
      <w:start w:val="1"/>
      <w:numFmt w:val="decimal"/>
      <w:lvlText w:val="%2."/>
      <w:lvlJc w:val="left"/>
      <w:pPr>
        <w:ind w:left="144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40"/>
      <w:ind w:right="35"/>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4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allred@autismsociety.org" TargetMode="External"/><Relationship Id="rId7" Type="http://schemas.openxmlformats.org/officeDocument/2006/relationships/hyperlink" Target="mailto:linscott@thearc.org" TargetMode="External"/><Relationship Id="rId8" Type="http://schemas.openxmlformats.org/officeDocument/2006/relationships/hyperlink" Target="mailto:Stephanie.mceben@ndrn.org" TargetMode="External"/><Relationship Id="rId9" Type="http://schemas.openxmlformats.org/officeDocument/2006/relationships/hyperlink" Target="mailto:lkaloi@stridepolicy.com" TargetMode="External"/><Relationship Id="rId10" Type="http://schemas.openxmlformats.org/officeDocument/2006/relationships/hyperlink" Target="mailto:lkubatzky@ncld.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2026-01-11T22:29:48Z</dcterms:created>
  <dcterms:modified xsi:type="dcterms:W3CDTF">2026-01-11T22:29:48Z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LastSaved">
    <vt:filetime>2026-01-11T00:00:00Z</vt:filetime>
  </property>
  <property fmtid="{D5CDD505-2E9C-101B-9397-08002B2CF9AE}" pid="4" name="Producer">
    <vt:lpwstr>macOS Version 15.6.1 (Build 24G90) Quartz PDFContext</vt:lpwstr>
  </property>
</Properties>
</file>