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ED01B7" w14:textId="77777777" w:rsidR="00B834F8" w:rsidRPr="00AD4923" w:rsidRDefault="00000000">
      <w:r w:rsidRPr="00AD4923">
        <w:t>December 12, 2025</w:t>
      </w:r>
    </w:p>
    <w:p w14:paraId="4967A09F" w14:textId="77777777" w:rsidR="00B834F8" w:rsidRPr="00AD4923" w:rsidRDefault="00B834F8"/>
    <w:p w14:paraId="2789D71E" w14:textId="77777777" w:rsidR="00B834F8" w:rsidRPr="00AD4923" w:rsidRDefault="00000000">
      <w:r w:rsidRPr="00AD4923">
        <w:t>Head of Privacy and Disclosure Policy</w:t>
      </w:r>
    </w:p>
    <w:p w14:paraId="6E0E6E31" w14:textId="77777777" w:rsidR="00B834F8" w:rsidRPr="00AD4923" w:rsidRDefault="00000000">
      <w:r w:rsidRPr="00AD4923">
        <w:t>Law and Policy, SSA, Room G-401 West High Rise</w:t>
      </w:r>
    </w:p>
    <w:p w14:paraId="3AA634E7" w14:textId="77777777" w:rsidR="00B834F8" w:rsidRPr="00AD4923" w:rsidRDefault="00000000">
      <w:r w:rsidRPr="00AD4923">
        <w:t>6401 Security Boulevard</w:t>
      </w:r>
    </w:p>
    <w:p w14:paraId="1548595D" w14:textId="77777777" w:rsidR="00B834F8" w:rsidRPr="00AD4923" w:rsidRDefault="00000000">
      <w:r w:rsidRPr="00AD4923">
        <w:t>Baltimore, Maryland 21235-6401</w:t>
      </w:r>
    </w:p>
    <w:p w14:paraId="1398F74A" w14:textId="77777777" w:rsidR="00B834F8" w:rsidRPr="00AD4923" w:rsidRDefault="00B834F8"/>
    <w:p w14:paraId="6E5395B1" w14:textId="77777777" w:rsidR="00B834F8" w:rsidRPr="00AD4923" w:rsidRDefault="00000000">
      <w:r w:rsidRPr="00AD4923">
        <w:rPr>
          <w:color w:val="000000"/>
        </w:rPr>
        <w:t xml:space="preserve">Submitted via </w:t>
      </w:r>
      <w:hyperlink r:id="rId8">
        <w:r w:rsidRPr="00AD4923">
          <w:rPr>
            <w:color w:val="467886"/>
          </w:rPr>
          <w:t>www.regulations.gov</w:t>
        </w:r>
      </w:hyperlink>
    </w:p>
    <w:p w14:paraId="17A28FE7" w14:textId="77777777" w:rsidR="00B834F8" w:rsidRPr="00AD4923" w:rsidRDefault="00B834F8"/>
    <w:p w14:paraId="52775A46" w14:textId="77777777" w:rsidR="00B834F8" w:rsidRPr="00AD4923" w:rsidRDefault="00000000">
      <w:r w:rsidRPr="00AD4923">
        <w:rPr>
          <w:b/>
          <w:bCs/>
          <w:color w:val="000000"/>
        </w:rPr>
        <w:t xml:space="preserve">Re: </w:t>
      </w:r>
      <w:r w:rsidRPr="00AD4923">
        <w:rPr>
          <w:b/>
          <w:bCs/>
        </w:rPr>
        <w:t>Privacy Act of 1974; System of Records; Docket No. SSA-2025-0225</w:t>
      </w:r>
    </w:p>
    <w:p w14:paraId="47CF029A" w14:textId="77777777" w:rsidR="00B834F8" w:rsidRPr="00AD4923" w:rsidRDefault="00B834F8"/>
    <w:p w14:paraId="6BA3993F" w14:textId="77777777" w:rsidR="00B834F8" w:rsidRPr="00AD4923" w:rsidRDefault="00000000" w:rsidP="002750B9">
      <w:pPr>
        <w:jc w:val="both"/>
      </w:pPr>
      <w:r w:rsidRPr="00AD4923">
        <w:t xml:space="preserve">To Whom it May Concern: </w:t>
      </w:r>
    </w:p>
    <w:p w14:paraId="7E3AF4C7" w14:textId="77777777" w:rsidR="00B834F8" w:rsidRPr="00AD4923" w:rsidRDefault="00B834F8" w:rsidP="002750B9">
      <w:pPr>
        <w:jc w:val="both"/>
      </w:pPr>
    </w:p>
    <w:p w14:paraId="36CD6FE7" w14:textId="77777777" w:rsidR="00B834F8" w:rsidRPr="00AD4923" w:rsidRDefault="00000000" w:rsidP="002750B9">
      <w:pPr>
        <w:jc w:val="both"/>
        <w:rPr>
          <w:color w:val="000000"/>
        </w:rPr>
      </w:pPr>
      <w:r w:rsidRPr="00AD4923">
        <w:rPr>
          <w:color w:val="000000"/>
        </w:rPr>
        <w:t xml:space="preserve">These comments are submitted on behalf of the Social Security Task Force (SSTF) of the Consortium for Constituents with Disabilities (CCD).  CCD is the largest coalition of national organizations working together to advocate for federal public policy that ensures </w:t>
      </w:r>
      <w:proofErr w:type="gramStart"/>
      <w:r w:rsidRPr="00AD4923">
        <w:rPr>
          <w:color w:val="000000"/>
        </w:rPr>
        <w:t>the self</w:t>
      </w:r>
      <w:proofErr w:type="gramEnd"/>
      <w:r w:rsidRPr="00AD4923">
        <w:rPr>
          <w:color w:val="000000"/>
        </w:rPr>
        <w:t>-determination, independence, empowerment, integration and inclusion of children and adults with disabilities in all aspects of society.  Since 1972, CCD has advocated on behalf of people of all ages with physical and mental disabilities and their families.</w:t>
      </w:r>
    </w:p>
    <w:p w14:paraId="024AC345" w14:textId="77777777" w:rsidR="00B834F8" w:rsidRPr="00AD4923" w:rsidRDefault="00B834F8" w:rsidP="002750B9">
      <w:pPr>
        <w:jc w:val="both"/>
      </w:pPr>
    </w:p>
    <w:p w14:paraId="0931D316" w14:textId="77777777" w:rsidR="00B834F8" w:rsidRPr="00AD4923" w:rsidRDefault="00000000" w:rsidP="002750B9">
      <w:pPr>
        <w:jc w:val="both"/>
      </w:pPr>
      <w:r w:rsidRPr="00AD4923">
        <w:t xml:space="preserve">We thank you for the opportunity to comment on the proposed modifications to SSA’s System of Records Notice (SORN). As detailed below, we write with concerns and objections to SSA’s proposed “new routine use” that will “permit disclosures” of “citizenship and immigration information” to the Department of Homeland Security. </w:t>
      </w:r>
    </w:p>
    <w:p w14:paraId="3B6523BA" w14:textId="77777777" w:rsidR="00A24528" w:rsidRPr="00AD4923" w:rsidRDefault="00A24528" w:rsidP="002750B9">
      <w:pPr>
        <w:jc w:val="both"/>
      </w:pPr>
    </w:p>
    <w:p w14:paraId="6CA91451" w14:textId="163FA7F2" w:rsidR="00A24528" w:rsidRPr="00AD4923" w:rsidRDefault="00A24528" w:rsidP="002750B9">
      <w:pPr>
        <w:jc w:val="both"/>
        <w:rPr>
          <w:b/>
          <w:bCs/>
          <w:u w:val="single"/>
        </w:rPr>
      </w:pPr>
      <w:r w:rsidRPr="00AD4923">
        <w:rPr>
          <w:b/>
          <w:bCs/>
          <w:u w:val="single"/>
        </w:rPr>
        <w:t>Introduction</w:t>
      </w:r>
    </w:p>
    <w:p w14:paraId="7FA6745F" w14:textId="77777777" w:rsidR="00B834F8" w:rsidRPr="00AD4923" w:rsidRDefault="00B834F8" w:rsidP="002750B9">
      <w:pPr>
        <w:jc w:val="both"/>
      </w:pPr>
    </w:p>
    <w:p w14:paraId="2379891D" w14:textId="0B8AEFEB" w:rsidR="00247F1A" w:rsidRPr="00AD4923" w:rsidRDefault="00247F1A" w:rsidP="002750B9">
      <w:pPr>
        <w:jc w:val="both"/>
        <w:rPr>
          <w:color w:val="000000" w:themeColor="text1"/>
        </w:rPr>
      </w:pPr>
      <w:r w:rsidRPr="00AD4923">
        <w:rPr>
          <w:color w:val="000000" w:themeColor="text1"/>
        </w:rPr>
        <w:t>W</w:t>
      </w:r>
      <w:r w:rsidRPr="00AD4923">
        <w:rPr>
          <w:color w:val="000000" w:themeColor="text1"/>
        </w:rPr>
        <w:t>e request that SSA withdraw this SORN and rescind its Letter Agreement</w:t>
      </w:r>
      <w:r w:rsidRPr="00AD4923">
        <w:rPr>
          <w:rStyle w:val="FootnoteReference"/>
          <w:color w:val="000000" w:themeColor="text1"/>
        </w:rPr>
        <w:footnoteReference w:id="1"/>
      </w:r>
      <w:r w:rsidRPr="00AD4923">
        <w:rPr>
          <w:color w:val="000000" w:themeColor="text1"/>
        </w:rPr>
        <w:t xml:space="preserve"> that gives the U.S. Department of Homeland Security (DHS) access to SSA’s Master Files of Social Security Number (SSN) Holders and SSN Applications (</w:t>
      </w:r>
      <w:proofErr w:type="spellStart"/>
      <w:r w:rsidRPr="00AD4923">
        <w:rPr>
          <w:color w:val="000000" w:themeColor="text1"/>
        </w:rPr>
        <w:t>Numident</w:t>
      </w:r>
      <w:proofErr w:type="spellEnd"/>
      <w:r w:rsidRPr="00AD4923">
        <w:rPr>
          <w:color w:val="000000" w:themeColor="text1"/>
        </w:rPr>
        <w:t xml:space="preserve"> Files) containing extensive personal data of every living person with a Social Security Number (SSN). </w:t>
      </w:r>
    </w:p>
    <w:p w14:paraId="088DE76B" w14:textId="77777777" w:rsidR="00247F1A" w:rsidRPr="00AD4923" w:rsidRDefault="00247F1A" w:rsidP="002750B9">
      <w:pPr>
        <w:jc w:val="both"/>
        <w:rPr>
          <w:color w:val="000000" w:themeColor="text1"/>
        </w:rPr>
      </w:pPr>
    </w:p>
    <w:p w14:paraId="46F3AB18" w14:textId="4CF68515" w:rsidR="00247F1A" w:rsidRPr="00AD4923" w:rsidRDefault="00E95FFE" w:rsidP="002750B9">
      <w:pPr>
        <w:jc w:val="both"/>
        <w:rPr>
          <w:color w:val="000000" w:themeColor="text1"/>
        </w:rPr>
      </w:pPr>
      <w:r w:rsidRPr="00AD4923">
        <w:rPr>
          <w:color w:val="000000" w:themeColor="text1"/>
        </w:rPr>
        <w:t>In detail below, we offer three primary areas of concern. First: a</w:t>
      </w:r>
      <w:r w:rsidR="00247F1A" w:rsidRPr="00AD4923">
        <w:rPr>
          <w:color w:val="000000" w:themeColor="text1"/>
        </w:rPr>
        <w:t xml:space="preserve"> key consideration is the quality of SSA’s citizenship data; it is incomplete and unreliable. Sharing such flawed data with DHS endangers the rights of millions of SSN holders</w:t>
      </w:r>
      <w:r w:rsidR="00247F1A" w:rsidRPr="00AD4923">
        <w:rPr>
          <w:color w:val="000000" w:themeColor="text1"/>
        </w:rPr>
        <w:t xml:space="preserve">, </w:t>
      </w:r>
      <w:r w:rsidR="00247F1A" w:rsidRPr="00AD4923">
        <w:rPr>
          <w:color w:val="000000" w:themeColor="text1"/>
        </w:rPr>
        <w:t xml:space="preserve">particularly when that data is made available to states </w:t>
      </w:r>
      <w:r w:rsidR="00247F1A" w:rsidRPr="00AD4923">
        <w:rPr>
          <w:color w:val="000000" w:themeColor="text1"/>
        </w:rPr>
        <w:t>for voter verification</w:t>
      </w:r>
      <w:r w:rsidR="00247F1A" w:rsidRPr="00AD4923">
        <w:rPr>
          <w:color w:val="000000" w:themeColor="text1"/>
        </w:rPr>
        <w:t>.</w:t>
      </w:r>
      <w:r w:rsidR="00247F1A" w:rsidRPr="00AD4923">
        <w:rPr>
          <w:rStyle w:val="FootnoteReference"/>
          <w:color w:val="000000" w:themeColor="text1"/>
        </w:rPr>
        <w:footnoteReference w:id="2"/>
      </w:r>
      <w:r w:rsidR="00247F1A" w:rsidRPr="00AD4923">
        <w:rPr>
          <w:color w:val="000000" w:themeColor="text1"/>
        </w:rPr>
        <w:t xml:space="preserve"> </w:t>
      </w:r>
      <w:r w:rsidRPr="00AD4923">
        <w:rPr>
          <w:color w:val="000000" w:themeColor="text1"/>
        </w:rPr>
        <w:t>Second:</w:t>
      </w:r>
      <w:r w:rsidR="00247F1A" w:rsidRPr="00AD4923">
        <w:rPr>
          <w:color w:val="000000" w:themeColor="text1"/>
        </w:rPr>
        <w:t xml:space="preserve"> </w:t>
      </w:r>
      <w:r w:rsidR="00247F1A" w:rsidRPr="00AD4923">
        <w:rPr>
          <w:color w:val="000000" w:themeColor="text1"/>
        </w:rPr>
        <w:t xml:space="preserve">given the incomplete and unreliable nature of SSA’s citizenship data, </w:t>
      </w:r>
      <w:r w:rsidR="00247F1A" w:rsidRPr="00AD4923">
        <w:rPr>
          <w:color w:val="000000" w:themeColor="text1"/>
        </w:rPr>
        <w:t xml:space="preserve">the SORN violates the Privacy Act and the Administrative Procedure Act. </w:t>
      </w:r>
      <w:r w:rsidRPr="00AD4923">
        <w:rPr>
          <w:color w:val="000000" w:themeColor="text1"/>
        </w:rPr>
        <w:t>Third:</w:t>
      </w:r>
      <w:r w:rsidR="00247F1A" w:rsidRPr="00AD4923">
        <w:rPr>
          <w:color w:val="000000" w:themeColor="text1"/>
        </w:rPr>
        <w:t xml:space="preserve"> </w:t>
      </w:r>
      <w:r w:rsidR="00247F1A" w:rsidRPr="00AD4923">
        <w:rPr>
          <w:color w:val="000000" w:themeColor="text1"/>
        </w:rPr>
        <w:lastRenderedPageBreak/>
        <w:t xml:space="preserve">we believe that </w:t>
      </w:r>
      <w:r w:rsidR="00247F1A" w:rsidRPr="00AD4923">
        <w:rPr>
          <w:color w:val="000000" w:themeColor="text1"/>
        </w:rPr>
        <w:t xml:space="preserve">SSA’s reliance on 8 U.S.C. § 1373(a) to justify its data-sharing with DHS </w:t>
      </w:r>
      <w:r w:rsidR="00247F1A" w:rsidRPr="00AD4923">
        <w:rPr>
          <w:color w:val="000000" w:themeColor="text1"/>
        </w:rPr>
        <w:t>is unfounded and relies on an inaccurate reading of the statute</w:t>
      </w:r>
      <w:r w:rsidR="00247F1A" w:rsidRPr="00AD4923">
        <w:rPr>
          <w:color w:val="000000" w:themeColor="text1"/>
        </w:rPr>
        <w:t>.</w:t>
      </w:r>
      <w:r w:rsidR="00247F1A" w:rsidRPr="00AD4923">
        <w:rPr>
          <w:rStyle w:val="FootnoteReference"/>
          <w:color w:val="000000" w:themeColor="text1"/>
        </w:rPr>
        <w:footnoteReference w:id="3"/>
      </w:r>
      <w:r w:rsidR="00247F1A" w:rsidRPr="00AD4923">
        <w:rPr>
          <w:color w:val="000000" w:themeColor="text1"/>
        </w:rPr>
        <w:t xml:space="preserve"> </w:t>
      </w:r>
    </w:p>
    <w:p w14:paraId="7C00154D" w14:textId="77777777" w:rsidR="00E95FFE" w:rsidRPr="00AD4923" w:rsidRDefault="00E95FFE" w:rsidP="002750B9">
      <w:pPr>
        <w:jc w:val="both"/>
        <w:rPr>
          <w:color w:val="000000" w:themeColor="text1"/>
        </w:rPr>
      </w:pPr>
    </w:p>
    <w:p w14:paraId="69405D3C" w14:textId="2795BFEE" w:rsidR="00E95FFE" w:rsidRPr="00AD4923" w:rsidRDefault="00E95FFE" w:rsidP="002750B9">
      <w:pPr>
        <w:pStyle w:val="ListParagraph"/>
        <w:numPr>
          <w:ilvl w:val="0"/>
          <w:numId w:val="4"/>
        </w:numPr>
        <w:kinsoku w:val="0"/>
        <w:overflowPunct w:val="0"/>
        <w:autoSpaceDE w:val="0"/>
        <w:autoSpaceDN w:val="0"/>
        <w:adjustRightInd w:val="0"/>
        <w:spacing w:line="266" w:lineRule="exact"/>
        <w:jc w:val="both"/>
        <w:rPr>
          <w:rFonts w:ascii="Times New Roman" w:hAnsi="Times New Roman" w:cs="Times New Roman"/>
          <w:b/>
          <w:sz w:val="24"/>
          <w:szCs w:val="24"/>
        </w:rPr>
      </w:pPr>
      <w:r w:rsidRPr="00AD4923">
        <w:rPr>
          <w:rFonts w:ascii="Times New Roman" w:hAnsi="Times New Roman" w:cs="Times New Roman"/>
          <w:b/>
          <w:sz w:val="24"/>
          <w:szCs w:val="24"/>
        </w:rPr>
        <w:t xml:space="preserve">SSA Citizenship Data in its </w:t>
      </w:r>
      <w:proofErr w:type="spellStart"/>
      <w:r w:rsidRPr="00AD4923">
        <w:rPr>
          <w:rFonts w:ascii="Times New Roman" w:hAnsi="Times New Roman" w:cs="Times New Roman"/>
          <w:b/>
          <w:sz w:val="24"/>
          <w:szCs w:val="24"/>
        </w:rPr>
        <w:t>Numident</w:t>
      </w:r>
      <w:proofErr w:type="spellEnd"/>
      <w:r w:rsidRPr="00AD4923">
        <w:rPr>
          <w:rFonts w:ascii="Times New Roman" w:hAnsi="Times New Roman" w:cs="Times New Roman"/>
          <w:b/>
          <w:sz w:val="24"/>
          <w:szCs w:val="24"/>
        </w:rPr>
        <w:t xml:space="preserve"> Files Is Incomplete and Unreliable</w:t>
      </w:r>
    </w:p>
    <w:p w14:paraId="6545B7DD" w14:textId="36F0DC49" w:rsidR="00E95FFE" w:rsidRPr="00AD4923" w:rsidRDefault="00E95FFE" w:rsidP="002750B9">
      <w:pPr>
        <w:pStyle w:val="xmsonormal"/>
        <w:shd w:val="clear" w:color="auto" w:fill="FFFFFF" w:themeFill="background1"/>
        <w:spacing w:before="0" w:beforeAutospacing="0" w:after="0" w:afterAutospacing="0" w:line="259" w:lineRule="auto"/>
        <w:jc w:val="both"/>
        <w:rPr>
          <w:rFonts w:eastAsia="Book Antiqua"/>
          <w:color w:val="000000" w:themeColor="text1"/>
          <w:u w:val="single"/>
        </w:rPr>
      </w:pPr>
      <w:r w:rsidRPr="00AD4923">
        <w:rPr>
          <w:rFonts w:eastAsia="Book Antiqua"/>
          <w:color w:val="000000" w:themeColor="text1"/>
        </w:rPr>
        <w:t xml:space="preserve">SSA has admitted that its citizenship data contained in its </w:t>
      </w:r>
      <w:proofErr w:type="spellStart"/>
      <w:r w:rsidRPr="00AD4923">
        <w:rPr>
          <w:rFonts w:eastAsia="Book Antiqua"/>
          <w:color w:val="000000" w:themeColor="text1"/>
        </w:rPr>
        <w:t>Numident</w:t>
      </w:r>
      <w:proofErr w:type="spellEnd"/>
      <w:r w:rsidRPr="00AD4923">
        <w:rPr>
          <w:rFonts w:eastAsia="Book Antiqua"/>
          <w:color w:val="000000" w:themeColor="text1"/>
        </w:rPr>
        <w:t xml:space="preserve"> Files—especially for naturalized citizens and U.S.-born citizens born before 1981—is incomplete, unreliable, and not “definitive.” SSA has repeatedly cautioned against relying on the data and stressed that SSA is not responsible for making citizenship determinations. That is because SSA’s data was </w:t>
      </w:r>
      <w:hyperlink r:id="rId9">
        <w:r w:rsidRPr="00AD4923">
          <w:rPr>
            <w:rStyle w:val="Hyperlink"/>
            <w:rFonts w:eastAsia="Book Antiqua"/>
            <w:color w:val="000000" w:themeColor="text1"/>
            <w:u w:val="none"/>
          </w:rPr>
          <w:t>designed</w:t>
        </w:r>
      </w:hyperlink>
      <w:r w:rsidRPr="00AD4923">
        <w:rPr>
          <w:rFonts w:eastAsia="Book Antiqua"/>
          <w:color w:val="000000" w:themeColor="text1"/>
        </w:rPr>
        <w:t xml:space="preserve"> to administer Social Security—not be part of a national</w:t>
      </w:r>
      <w:r w:rsidRPr="00AD4923">
        <w:rPr>
          <w:rFonts w:eastAsia="Book Antiqua"/>
          <w:i/>
          <w:color w:val="000000" w:themeColor="text1"/>
        </w:rPr>
        <w:t xml:space="preserve"> </w:t>
      </w:r>
      <w:r w:rsidRPr="00AD4923">
        <w:rPr>
          <w:rFonts w:eastAsia="Book Antiqua"/>
          <w:color w:val="000000" w:themeColor="text1"/>
        </w:rPr>
        <w:t>citizenship registry. There are three key limitations to SSA’s citizenship data:</w:t>
      </w:r>
    </w:p>
    <w:p w14:paraId="3EAB76CC" w14:textId="77777777" w:rsidR="00E95FFE" w:rsidRPr="00AD4923" w:rsidRDefault="00E95FFE" w:rsidP="002750B9">
      <w:pPr>
        <w:pStyle w:val="xmsonormal"/>
        <w:shd w:val="clear" w:color="auto" w:fill="FFFFFF" w:themeFill="background1"/>
        <w:spacing w:before="0" w:beforeAutospacing="0" w:after="0" w:afterAutospacing="0"/>
        <w:jc w:val="both"/>
        <w:textAlignment w:val="baseline"/>
        <w:rPr>
          <w:rFonts w:eastAsia="Book Antiqua"/>
          <w:color w:val="000000" w:themeColor="text1"/>
        </w:rPr>
      </w:pPr>
    </w:p>
    <w:p w14:paraId="19C902A0" w14:textId="0DD520D4" w:rsidR="00E95FFE" w:rsidRPr="00AD4923" w:rsidRDefault="00E95FFE" w:rsidP="002750B9">
      <w:pPr>
        <w:pStyle w:val="ListParagraph"/>
        <w:numPr>
          <w:ilvl w:val="0"/>
          <w:numId w:val="5"/>
        </w:numPr>
        <w:jc w:val="both"/>
        <w:textAlignment w:val="baseline"/>
        <w:rPr>
          <w:rFonts w:ascii="Times New Roman" w:eastAsia="Book Antiqua" w:hAnsi="Times New Roman" w:cs="Times New Roman"/>
          <w:b/>
          <w:bCs/>
          <w:color w:val="000000" w:themeColor="text1"/>
          <w:sz w:val="24"/>
          <w:szCs w:val="24"/>
        </w:rPr>
      </w:pPr>
      <w:r w:rsidRPr="00AD4923">
        <w:rPr>
          <w:rFonts w:ascii="Times New Roman" w:eastAsia="Book Antiqua" w:hAnsi="Times New Roman" w:cs="Times New Roman"/>
          <w:b/>
          <w:bCs/>
          <w:color w:val="000000" w:themeColor="text1"/>
          <w:sz w:val="24"/>
          <w:szCs w:val="24"/>
        </w:rPr>
        <w:t>SSA’s citizenship Data is Incomplete, Even for Native-born Citizens</w:t>
      </w:r>
    </w:p>
    <w:p w14:paraId="0672D52A" w14:textId="77777777" w:rsidR="00E95FFE" w:rsidRPr="00AD4923" w:rsidRDefault="00E95FFE" w:rsidP="002750B9">
      <w:pPr>
        <w:jc w:val="both"/>
        <w:textAlignment w:val="baseline"/>
        <w:rPr>
          <w:rFonts w:eastAsia="Book Antiqua"/>
        </w:rPr>
      </w:pPr>
      <w:r w:rsidRPr="00AD4923">
        <w:rPr>
          <w:rFonts w:eastAsia="Book Antiqua"/>
          <w:color w:val="000000" w:themeColor="text1"/>
        </w:rPr>
        <w:t xml:space="preserve">For </w:t>
      </w:r>
      <w:r w:rsidRPr="00AD4923">
        <w:rPr>
          <w:rFonts w:eastAsia="Book Antiqua"/>
        </w:rPr>
        <w:t xml:space="preserve">SSNs issued before 1972, SSA did not </w:t>
      </w:r>
      <w:hyperlink r:id="rId10">
        <w:r w:rsidRPr="00AD4923">
          <w:rPr>
            <w:rFonts w:eastAsia="Book Antiqua"/>
          </w:rPr>
          <w:t>require evidence</w:t>
        </w:r>
      </w:hyperlink>
      <w:r w:rsidRPr="00AD4923">
        <w:rPr>
          <w:rFonts w:eastAsia="Book Antiqua"/>
        </w:rPr>
        <w:t xml:space="preserve"> of citizenship, and SSA did not consistently collect citizenship information until </w:t>
      </w:r>
      <w:hyperlink r:id="rId11">
        <w:r w:rsidRPr="00AD4923">
          <w:rPr>
            <w:rFonts w:eastAsia="Book Antiqua"/>
          </w:rPr>
          <w:t>1981</w:t>
        </w:r>
      </w:hyperlink>
      <w:r w:rsidRPr="00AD4923">
        <w:rPr>
          <w:rFonts w:eastAsia="Book Antiqua"/>
        </w:rPr>
        <w:t>.</w:t>
      </w:r>
      <w:r w:rsidRPr="00AD4923">
        <w:rPr>
          <w:rStyle w:val="FootnoteReference"/>
          <w:rFonts w:eastAsia="Book Antiqua"/>
        </w:rPr>
        <w:footnoteReference w:id="4"/>
      </w:r>
      <w:r w:rsidRPr="00AD4923">
        <w:rPr>
          <w:rFonts w:eastAsia="Book Antiqua"/>
        </w:rPr>
        <w:t xml:space="preserve"> In these cases, SSA requires citizenship verification only when a person applies for benefits or requests a replacement Social Security card. That means that SSA likely does not have information about citizenship status for U.S.-born citizens older than their mid-forties unless they have subsequently filed for Social Security benefits or sought a new Social Security card. Additionally, many U.S. citizens who are born abroad, such as children of military personnel, do not have accurate citizenship data in SSA’s </w:t>
      </w:r>
      <w:proofErr w:type="spellStart"/>
      <w:r w:rsidRPr="00AD4923">
        <w:rPr>
          <w:rFonts w:eastAsia="Book Antiqua"/>
        </w:rPr>
        <w:t>Numident</w:t>
      </w:r>
      <w:proofErr w:type="spellEnd"/>
      <w:r w:rsidRPr="00AD4923">
        <w:rPr>
          <w:rFonts w:eastAsia="Book Antiqua"/>
        </w:rPr>
        <w:t xml:space="preserve"> Files. </w:t>
      </w:r>
    </w:p>
    <w:p w14:paraId="114CC64F" w14:textId="77777777" w:rsidR="00BD3124" w:rsidRPr="00AD4923" w:rsidRDefault="00BD3124" w:rsidP="002750B9">
      <w:pPr>
        <w:pStyle w:val="xmsonormal"/>
        <w:shd w:val="clear" w:color="auto" w:fill="FFFFFF" w:themeFill="background1"/>
        <w:spacing w:before="0" w:beforeAutospacing="0" w:after="0" w:afterAutospacing="0"/>
        <w:jc w:val="both"/>
        <w:textAlignment w:val="baseline"/>
        <w:rPr>
          <w:rFonts w:eastAsia="Book Antiqua"/>
          <w:b/>
          <w:bCs/>
        </w:rPr>
      </w:pPr>
    </w:p>
    <w:p w14:paraId="05F3D80D" w14:textId="70512EB5" w:rsidR="00E95FFE" w:rsidRPr="00AD4923" w:rsidRDefault="00E95FFE" w:rsidP="002750B9">
      <w:pPr>
        <w:pStyle w:val="xmsonormal"/>
        <w:numPr>
          <w:ilvl w:val="0"/>
          <w:numId w:val="5"/>
        </w:numPr>
        <w:shd w:val="clear" w:color="auto" w:fill="FFFFFF" w:themeFill="background1"/>
        <w:spacing w:before="0" w:beforeAutospacing="0" w:after="0" w:afterAutospacing="0"/>
        <w:jc w:val="both"/>
        <w:textAlignment w:val="baseline"/>
        <w:rPr>
          <w:rFonts w:eastAsia="Book Antiqua"/>
        </w:rPr>
      </w:pPr>
      <w:r w:rsidRPr="00AD4923">
        <w:rPr>
          <w:rFonts w:eastAsia="Book Antiqua"/>
          <w:b/>
          <w:bCs/>
        </w:rPr>
        <w:t>SSA’s Citizenship Data is Out of Date, Particularly for Naturalized Citizens</w:t>
      </w:r>
    </w:p>
    <w:p w14:paraId="76B40E03" w14:textId="77777777" w:rsidR="00E95FFE" w:rsidRPr="00AD4923" w:rsidRDefault="00E95FFE" w:rsidP="002750B9">
      <w:pPr>
        <w:pStyle w:val="xmsonormal"/>
        <w:shd w:val="clear" w:color="auto" w:fill="FFFFFF" w:themeFill="background1"/>
        <w:spacing w:before="0" w:beforeAutospacing="0" w:after="0" w:afterAutospacing="0"/>
        <w:jc w:val="both"/>
        <w:textAlignment w:val="baseline"/>
        <w:rPr>
          <w:rFonts w:eastAsia="Book Antiqua"/>
        </w:rPr>
      </w:pPr>
    </w:p>
    <w:p w14:paraId="748A7821" w14:textId="77777777" w:rsidR="00E95FFE" w:rsidRPr="00AD4923" w:rsidRDefault="00E95FFE" w:rsidP="002750B9">
      <w:pPr>
        <w:pStyle w:val="xmsonormal"/>
        <w:shd w:val="clear" w:color="auto" w:fill="FFFFFF" w:themeFill="background1"/>
        <w:spacing w:before="0" w:beforeAutospacing="0" w:after="0" w:afterAutospacing="0"/>
        <w:jc w:val="both"/>
        <w:textAlignment w:val="baseline"/>
        <w:rPr>
          <w:rFonts w:eastAsia="Book Antiqua"/>
        </w:rPr>
      </w:pPr>
      <w:r w:rsidRPr="00AD4923">
        <w:rPr>
          <w:rFonts w:eastAsia="Book Antiqua"/>
        </w:rPr>
        <w:t>For most of SSA’s history, its records only reflect people's naturalized citizenship at the point in time when they visited a local office with their documents. This created significant lags, since there was no requirement for SSN-holders to update their status with SSA until they got a replacement card or claimed benefits.</w:t>
      </w:r>
      <w:r w:rsidRPr="00AD4923">
        <w:rPr>
          <w:rStyle w:val="FootnoteReference"/>
          <w:rFonts w:eastAsia="Book Antiqua"/>
        </w:rPr>
        <w:footnoteReference w:id="5"/>
      </w:r>
      <w:r w:rsidRPr="00AD4923">
        <w:rPr>
          <w:rFonts w:eastAsia="Book Antiqua"/>
        </w:rPr>
        <w:t xml:space="preserve"> </w:t>
      </w:r>
    </w:p>
    <w:p w14:paraId="7F2F91AE" w14:textId="77777777" w:rsidR="00E95FFE" w:rsidRPr="00AD4923" w:rsidRDefault="00E95FFE" w:rsidP="002750B9">
      <w:pPr>
        <w:pStyle w:val="xmsonormal"/>
        <w:shd w:val="clear" w:color="auto" w:fill="FFFFFF" w:themeFill="background1"/>
        <w:spacing w:before="0" w:beforeAutospacing="0" w:after="0" w:afterAutospacing="0"/>
        <w:jc w:val="both"/>
        <w:textAlignment w:val="baseline"/>
        <w:rPr>
          <w:rFonts w:eastAsia="Book Antiqua"/>
        </w:rPr>
      </w:pPr>
    </w:p>
    <w:p w14:paraId="5EF4BE9D" w14:textId="64855BCF" w:rsidR="00E95FFE" w:rsidRPr="00AD4923" w:rsidRDefault="00E95FFE" w:rsidP="002750B9">
      <w:pPr>
        <w:pStyle w:val="xmsonormal"/>
        <w:shd w:val="clear" w:color="auto" w:fill="FFFFFF" w:themeFill="background1"/>
        <w:spacing w:before="0" w:beforeAutospacing="0" w:after="0" w:afterAutospacing="0"/>
        <w:jc w:val="both"/>
        <w:textAlignment w:val="baseline"/>
        <w:rPr>
          <w:rFonts w:eastAsia="Book Antiqua"/>
        </w:rPr>
      </w:pPr>
      <w:r w:rsidRPr="00AD4923">
        <w:rPr>
          <w:rFonts w:eastAsia="Book Antiqua"/>
        </w:rPr>
        <w:t>That changed in 2024, when SSA’s Enumeration Beyond Entry (EBE) program</w:t>
      </w:r>
      <w:r w:rsidRPr="00AD4923">
        <w:rPr>
          <w:rStyle w:val="FootnoteReference"/>
          <w:rFonts w:eastAsia="Book Antiqua"/>
        </w:rPr>
        <w:footnoteReference w:id="6"/>
      </w:r>
      <w:r w:rsidRPr="00AD4923">
        <w:rPr>
          <w:rFonts w:eastAsia="Book Antiqua"/>
        </w:rPr>
        <w:t xml:space="preserve"> began </w:t>
      </w:r>
      <w:hyperlink r:id="rId12">
        <w:r w:rsidRPr="00AD4923">
          <w:rPr>
            <w:rFonts w:eastAsia="Book Antiqua"/>
          </w:rPr>
          <w:t>automatically</w:t>
        </w:r>
      </w:hyperlink>
      <w:r w:rsidRPr="00AD4923">
        <w:rPr>
          <w:rFonts w:eastAsia="Book Antiqua"/>
        </w:rPr>
        <w:t xml:space="preserve"> updating its records for newly naturalized citizens, based on a data match with DHS. But the EBE program indefinitely </w:t>
      </w:r>
      <w:hyperlink r:id="rId13">
        <w:r w:rsidRPr="00AD4923">
          <w:rPr>
            <w:rFonts w:eastAsia="Book Antiqua"/>
          </w:rPr>
          <w:t>suspended</w:t>
        </w:r>
      </w:hyperlink>
      <w:r w:rsidRPr="00AD4923">
        <w:rPr>
          <w:rFonts w:eastAsia="Book Antiqua"/>
        </w:rPr>
        <w:t xml:space="preserve"> that agreement earlier this year</w:t>
      </w:r>
      <w:r w:rsidRPr="00AD4923">
        <w:rPr>
          <w:rStyle w:val="FootnoteReference"/>
          <w:rFonts w:eastAsia="Book Antiqua"/>
        </w:rPr>
        <w:footnoteReference w:id="7"/>
      </w:r>
      <w:r w:rsidRPr="00AD4923">
        <w:rPr>
          <w:rFonts w:eastAsia="Book Antiqua"/>
        </w:rPr>
        <w:t xml:space="preserve"> with no public notice or justification — even though a leaked internal analysis showed that doing so would create errors in the agency’s data, cause operational strains, carry legal risks, and cost significantly more. This means that many naturalized citizens do not have </w:t>
      </w:r>
      <w:hyperlink r:id="rId14">
        <w:r w:rsidRPr="00AD4923">
          <w:rPr>
            <w:rFonts w:eastAsia="Book Antiqua"/>
          </w:rPr>
          <w:t>accurate</w:t>
        </w:r>
      </w:hyperlink>
      <w:r w:rsidRPr="00AD4923">
        <w:rPr>
          <w:rFonts w:eastAsia="Book Antiqua"/>
        </w:rPr>
        <w:t xml:space="preserve"> citizenship data in SSA’s files.  </w:t>
      </w:r>
    </w:p>
    <w:p w14:paraId="12FF41D8" w14:textId="77777777" w:rsidR="00BD3124" w:rsidRPr="00AD4923" w:rsidRDefault="00BD3124" w:rsidP="002750B9">
      <w:pPr>
        <w:pStyle w:val="xmsonormal"/>
        <w:shd w:val="clear" w:color="auto" w:fill="FFFFFF" w:themeFill="background1"/>
        <w:spacing w:before="0" w:beforeAutospacing="0" w:after="0" w:afterAutospacing="0"/>
        <w:jc w:val="both"/>
        <w:textAlignment w:val="baseline"/>
        <w:rPr>
          <w:rFonts w:eastAsia="Book Antiqua"/>
        </w:rPr>
      </w:pPr>
    </w:p>
    <w:p w14:paraId="608CD498" w14:textId="73240FD5" w:rsidR="00E95FFE" w:rsidRPr="00AD4923" w:rsidRDefault="00E95FFE" w:rsidP="002750B9">
      <w:pPr>
        <w:pStyle w:val="xmsonormal"/>
        <w:numPr>
          <w:ilvl w:val="0"/>
          <w:numId w:val="5"/>
        </w:numPr>
        <w:shd w:val="clear" w:color="auto" w:fill="FFFFFF" w:themeFill="background1"/>
        <w:spacing w:before="0" w:beforeAutospacing="0" w:after="0" w:afterAutospacing="0"/>
        <w:jc w:val="both"/>
        <w:textAlignment w:val="baseline"/>
        <w:rPr>
          <w:rFonts w:eastAsia="Book Antiqua"/>
          <w:b/>
        </w:rPr>
      </w:pPr>
      <w:r w:rsidRPr="00AD4923">
        <w:rPr>
          <w:rFonts w:eastAsia="Book Antiqua"/>
          <w:b/>
        </w:rPr>
        <w:t>SSA’s Citizenship Data Has Not Been Updated Regularly</w:t>
      </w:r>
    </w:p>
    <w:p w14:paraId="15C4B2D9" w14:textId="77777777" w:rsidR="00E95FFE" w:rsidRPr="00AD4923" w:rsidRDefault="00E95FFE" w:rsidP="002750B9">
      <w:pPr>
        <w:pStyle w:val="xmsonormal"/>
        <w:shd w:val="clear" w:color="auto" w:fill="FFFFFF" w:themeFill="background1"/>
        <w:spacing w:before="0" w:beforeAutospacing="0" w:after="0" w:afterAutospacing="0"/>
        <w:jc w:val="both"/>
        <w:textAlignment w:val="baseline"/>
        <w:rPr>
          <w:rFonts w:eastAsia="Book Antiqua"/>
        </w:rPr>
      </w:pPr>
    </w:p>
    <w:p w14:paraId="360DEA53" w14:textId="6F3C2497" w:rsidR="00E95FFE" w:rsidRPr="00AD4923" w:rsidRDefault="00E95FFE" w:rsidP="002750B9">
      <w:pPr>
        <w:pStyle w:val="xmsonormal"/>
        <w:shd w:val="clear" w:color="auto" w:fill="FFFFFF" w:themeFill="background1"/>
        <w:spacing w:before="0" w:beforeAutospacing="0" w:after="0" w:afterAutospacing="0"/>
        <w:jc w:val="both"/>
        <w:textAlignment w:val="baseline"/>
        <w:rPr>
          <w:rFonts w:eastAsia="Book Antiqua"/>
        </w:rPr>
      </w:pPr>
      <w:r w:rsidRPr="00AD4923">
        <w:rPr>
          <w:rFonts w:eastAsia="Book Antiqua"/>
          <w:bCs/>
        </w:rPr>
        <w:lastRenderedPageBreak/>
        <w:t>The only citizenship data SSA possesses is provided by the individual at a single moment in time—when someone applies for an SSN and the corresponding card, or when they apply for benefits.</w:t>
      </w:r>
      <w:r w:rsidRPr="00AD4923">
        <w:rPr>
          <w:rStyle w:val="FootnoteReference"/>
          <w:rFonts w:eastAsia="Book Antiqua"/>
          <w:bCs/>
        </w:rPr>
        <w:footnoteReference w:id="8"/>
      </w:r>
      <w:r w:rsidRPr="00AD4923">
        <w:rPr>
          <w:rFonts w:eastAsia="Book Antiqua"/>
        </w:rPr>
        <w:t xml:space="preserve"> SSA has no process for automatically updating the citizenship data it maintains, but rather relies on SSN</w:t>
      </w:r>
      <w:r w:rsidR="00BD3124" w:rsidRPr="00AD4923">
        <w:rPr>
          <w:rFonts w:eastAsia="Book Antiqua"/>
        </w:rPr>
        <w:t xml:space="preserve"> </w:t>
      </w:r>
      <w:r w:rsidRPr="00AD4923">
        <w:rPr>
          <w:rFonts w:eastAsia="Book Antiqua"/>
        </w:rPr>
        <w:t>holders to inform SSA of any change in their status</w:t>
      </w:r>
      <w:r w:rsidR="00BD3124" w:rsidRPr="00AD4923">
        <w:rPr>
          <w:rFonts w:eastAsia="Book Antiqua"/>
        </w:rPr>
        <w:t xml:space="preserve">. </w:t>
      </w:r>
      <w:r w:rsidRPr="00AD4923">
        <w:rPr>
          <w:rFonts w:eastAsia="Book Antiqua"/>
        </w:rPr>
        <w:t>SSA stated that “there is no obligation for an individual to report to SSA a chance in their immigration status unless the individual is receiving Social Security payments.</w:t>
      </w:r>
      <w:r w:rsidR="00BD3124" w:rsidRPr="00AD4923">
        <w:rPr>
          <w:rFonts w:eastAsia="Book Antiqua"/>
        </w:rPr>
        <w:t>”</w:t>
      </w:r>
      <w:r w:rsidRPr="00AD4923">
        <w:rPr>
          <w:rStyle w:val="FootnoteReference"/>
          <w:rFonts w:eastAsia="Book Antiqua"/>
        </w:rPr>
        <w:footnoteReference w:id="9"/>
      </w:r>
      <w:r w:rsidRPr="00AD4923">
        <w:rPr>
          <w:rFonts w:eastAsia="Book Antiqua"/>
        </w:rPr>
        <w:t xml:space="preserve">  </w:t>
      </w:r>
    </w:p>
    <w:p w14:paraId="4EE35488" w14:textId="77777777" w:rsidR="00E95FFE" w:rsidRPr="00AD4923" w:rsidRDefault="00E95FFE" w:rsidP="002750B9">
      <w:pPr>
        <w:pStyle w:val="xmsonormal"/>
        <w:shd w:val="clear" w:color="auto" w:fill="FFFFFF" w:themeFill="background1"/>
        <w:spacing w:before="0" w:beforeAutospacing="0" w:after="0" w:afterAutospacing="0"/>
        <w:jc w:val="both"/>
        <w:textAlignment w:val="baseline"/>
        <w:rPr>
          <w:rFonts w:eastAsia="Book Antiqua"/>
        </w:rPr>
      </w:pPr>
    </w:p>
    <w:p w14:paraId="022ED235" w14:textId="550211C3" w:rsidR="00E95FFE" w:rsidRPr="00AD4923" w:rsidRDefault="00E95FFE" w:rsidP="002750B9">
      <w:pPr>
        <w:pStyle w:val="xmsonormal"/>
        <w:shd w:val="clear" w:color="auto" w:fill="FFFFFF" w:themeFill="background1"/>
        <w:spacing w:before="0" w:beforeAutospacing="0" w:after="0" w:afterAutospacing="0"/>
        <w:jc w:val="both"/>
        <w:textAlignment w:val="baseline"/>
        <w:rPr>
          <w:rFonts w:eastAsia="Book Antiqua"/>
        </w:rPr>
      </w:pPr>
      <w:r w:rsidRPr="00AD4923">
        <w:rPr>
          <w:rFonts w:eastAsia="Book Antiqua"/>
        </w:rPr>
        <w:t>As a result, SSA’s citizenship data cannot be relied upon to definitively prove an individual is not a U.S. citizen. A 2006 audit</w:t>
      </w:r>
      <w:r w:rsidRPr="00AD4923">
        <w:rPr>
          <w:rStyle w:val="FootnoteReference"/>
          <w:rFonts w:eastAsia="Book Antiqua"/>
          <w:color w:val="0000FF"/>
        </w:rPr>
        <w:footnoteReference w:id="10"/>
      </w:r>
      <w:r w:rsidRPr="00AD4923">
        <w:rPr>
          <w:rFonts w:eastAsia="Book Antiqua"/>
        </w:rPr>
        <w:t xml:space="preserve"> by SSA’s Office of Inspector General estimated that SSA’s citizenship data inaccurately identified about 3.3 million U.S. citizens as non-citizens “because they had become U.S. citizens after obtaining their SSN” and “had not updated their records with SSA.”</w:t>
      </w:r>
      <w:r w:rsidRPr="00AD4923">
        <w:rPr>
          <w:rStyle w:val="FootnoteReference"/>
          <w:rFonts w:eastAsia="Book Antiqua"/>
        </w:rPr>
        <w:footnoteReference w:id="11"/>
      </w:r>
      <w:r w:rsidRPr="00AD4923">
        <w:rPr>
          <w:rFonts w:eastAsia="Book Antiqua"/>
        </w:rPr>
        <w:t xml:space="preserve"> SSA also lacks complete citizenship data for U.S.</w:t>
      </w:r>
      <w:r w:rsidR="00CA3841" w:rsidRPr="00AD4923">
        <w:rPr>
          <w:rFonts w:eastAsia="Book Antiqua"/>
        </w:rPr>
        <w:t xml:space="preserve"> </w:t>
      </w:r>
      <w:r w:rsidRPr="00AD4923">
        <w:rPr>
          <w:rFonts w:eastAsia="Book Antiqua"/>
        </w:rPr>
        <w:t>born citizens born before 1981.</w:t>
      </w:r>
      <w:r w:rsidRPr="00AD4923">
        <w:rPr>
          <w:rStyle w:val="FootnoteReference"/>
          <w:rFonts w:eastAsia="Book Antiqua"/>
        </w:rPr>
        <w:footnoteReference w:id="12"/>
      </w:r>
      <w:r w:rsidRPr="00AD4923">
        <w:rPr>
          <w:rFonts w:eastAsia="Book Antiqua"/>
        </w:rPr>
        <w:t xml:space="preserve">  According to SSA, “SSA’s assessment of its citizenship data indicates that approximately </w:t>
      </w:r>
      <w:r w:rsidR="00BD3124" w:rsidRPr="00AD4923">
        <w:rPr>
          <w:rFonts w:eastAsia="Book Antiqua"/>
        </w:rPr>
        <w:t xml:space="preserve">one-fourth </w:t>
      </w:r>
      <w:r w:rsidRPr="00AD4923">
        <w:rPr>
          <w:rFonts w:eastAsia="Book Antiqua"/>
        </w:rPr>
        <w:t>of those records do not have an indication of citizenship present.”</w:t>
      </w:r>
      <w:r w:rsidRPr="00AD4923">
        <w:rPr>
          <w:rStyle w:val="FootnoteReference"/>
          <w:rFonts w:eastAsia="Book Antiqua"/>
        </w:rPr>
        <w:footnoteReference w:id="13"/>
      </w:r>
      <w:r w:rsidRPr="00AD4923">
        <w:rPr>
          <w:rFonts w:eastAsia="Book Antiqua"/>
        </w:rPr>
        <w:t xml:space="preserve">  </w:t>
      </w:r>
    </w:p>
    <w:p w14:paraId="5942E4D7" w14:textId="77777777" w:rsidR="00E95FFE" w:rsidRPr="00AD4923" w:rsidRDefault="00E95FFE" w:rsidP="002750B9">
      <w:pPr>
        <w:pStyle w:val="xmsonormal"/>
        <w:shd w:val="clear" w:color="auto" w:fill="FFFFFF" w:themeFill="background1"/>
        <w:spacing w:before="0" w:beforeAutospacing="0" w:after="0" w:afterAutospacing="0"/>
        <w:jc w:val="both"/>
        <w:rPr>
          <w:rFonts w:eastAsia="Book Antiqua"/>
        </w:rPr>
      </w:pPr>
    </w:p>
    <w:p w14:paraId="7651DEAD" w14:textId="77777777" w:rsidR="00E95FFE" w:rsidRPr="00AD4923" w:rsidRDefault="00E95FFE" w:rsidP="002750B9">
      <w:pPr>
        <w:jc w:val="both"/>
        <w:rPr>
          <w:rFonts w:eastAsia="Book Antiqua"/>
        </w:rPr>
      </w:pPr>
      <w:r w:rsidRPr="00AD4923">
        <w:rPr>
          <w:rFonts w:eastAsia="Book Antiqua"/>
        </w:rPr>
        <w:t xml:space="preserve">In fact, a DHS </w:t>
      </w:r>
      <w:hyperlink r:id="rId15">
        <w:r w:rsidRPr="00AD4923">
          <w:rPr>
            <w:rFonts w:eastAsia="Book Antiqua"/>
          </w:rPr>
          <w:t>Privacy Impact Assessment</w:t>
        </w:r>
      </w:hyperlink>
      <w:r w:rsidRPr="00AD4923">
        <w:rPr>
          <w:rFonts w:eastAsia="Book Antiqua"/>
        </w:rPr>
        <w:t xml:space="preserve"> of the data sharing agreement with SSA acknowledged that using SSA’s data to validate voters’ citizenship status “may produce inaccurate results” that cannot be fully mitigated.</w:t>
      </w:r>
      <w:r w:rsidRPr="00AD4923">
        <w:rPr>
          <w:rStyle w:val="FootnoteReference"/>
          <w:rFonts w:eastAsia="Book Antiqua"/>
        </w:rPr>
        <w:footnoteReference w:id="14"/>
      </w:r>
      <w:r w:rsidRPr="00AD4923">
        <w:rPr>
          <w:rFonts w:eastAsia="Book Antiqua"/>
        </w:rPr>
        <w:t xml:space="preserve"> Indeed, the agreement does not provide adequate guidance on how to verify citizenship status in cases where SSA’s data is missing or out of date. </w:t>
      </w:r>
    </w:p>
    <w:p w14:paraId="3DD88A22" w14:textId="77777777" w:rsidR="00E95FFE" w:rsidRPr="00AD4923" w:rsidRDefault="00E95FFE" w:rsidP="002750B9">
      <w:pPr>
        <w:jc w:val="both"/>
        <w:rPr>
          <w:rFonts w:eastAsia="Book Antiqua"/>
        </w:rPr>
      </w:pPr>
    </w:p>
    <w:p w14:paraId="0587FABB" w14:textId="26461E93" w:rsidR="00E95FFE" w:rsidRPr="00AD4923" w:rsidRDefault="00E95FFE" w:rsidP="002750B9">
      <w:pPr>
        <w:pStyle w:val="xmsonormal"/>
        <w:spacing w:before="0" w:beforeAutospacing="0" w:after="0" w:afterAutospacing="0"/>
        <w:jc w:val="both"/>
        <w:rPr>
          <w:rFonts w:eastAsia="Book Antiqua"/>
        </w:rPr>
      </w:pPr>
      <w:r w:rsidRPr="00AD4923">
        <w:rPr>
          <w:rFonts w:eastAsia="Book Antiqua"/>
        </w:rPr>
        <w:t xml:space="preserve">SSA’s data could potentially be helpful in </w:t>
      </w:r>
      <w:r w:rsidRPr="00AD4923">
        <w:rPr>
          <w:rFonts w:eastAsia="Book Antiqua"/>
          <w:b/>
          <w:i/>
        </w:rPr>
        <w:t>proving</w:t>
      </w:r>
      <w:r w:rsidRPr="00AD4923">
        <w:rPr>
          <w:rFonts w:eastAsia="Book Antiqua"/>
        </w:rPr>
        <w:t xml:space="preserve"> citizenship, since the agency has independently verified citizenship for hundreds of millions of Americans</w:t>
      </w:r>
      <w:r w:rsidR="00BD3124" w:rsidRPr="00AD4923">
        <w:rPr>
          <w:rFonts w:eastAsia="Book Antiqua"/>
        </w:rPr>
        <w:t xml:space="preserve">; however, </w:t>
      </w:r>
      <w:r w:rsidRPr="00AD4923">
        <w:rPr>
          <w:rFonts w:eastAsia="Book Antiqua"/>
        </w:rPr>
        <w:t xml:space="preserve">the reverse is </w:t>
      </w:r>
      <w:r w:rsidR="00BD3124" w:rsidRPr="00AD4923">
        <w:rPr>
          <w:rFonts w:eastAsia="Book Antiqua"/>
        </w:rPr>
        <w:t xml:space="preserve">simply </w:t>
      </w:r>
      <w:r w:rsidRPr="00AD4923">
        <w:rPr>
          <w:rFonts w:eastAsia="Book Antiqua"/>
        </w:rPr>
        <w:t xml:space="preserve">not true. SSA’s data is not appropriate for </w:t>
      </w:r>
      <w:r w:rsidRPr="00AD4923">
        <w:rPr>
          <w:rFonts w:eastAsia="Book Antiqua"/>
          <w:b/>
          <w:i/>
          <w:iCs/>
        </w:rPr>
        <w:t>disproving</w:t>
      </w:r>
      <w:r w:rsidRPr="00AD4923">
        <w:rPr>
          <w:rFonts w:eastAsia="Book Antiqua"/>
          <w:i/>
          <w:iCs/>
        </w:rPr>
        <w:t xml:space="preserve"> </w:t>
      </w:r>
      <w:r w:rsidRPr="00AD4923">
        <w:rPr>
          <w:rFonts w:eastAsia="Book Antiqua"/>
        </w:rPr>
        <w:t>citizenship, because entries that show lack</w:t>
      </w:r>
      <w:r w:rsidR="00BD3124" w:rsidRPr="00AD4923">
        <w:rPr>
          <w:rFonts w:eastAsia="Book Antiqua"/>
        </w:rPr>
        <w:t>ing</w:t>
      </w:r>
      <w:r w:rsidRPr="00AD4923">
        <w:rPr>
          <w:rFonts w:eastAsia="Book Antiqua"/>
        </w:rPr>
        <w:t xml:space="preserve"> citizenship data or indicate non-citizen status are known </w:t>
      </w:r>
      <w:r w:rsidR="00BD3124" w:rsidRPr="00AD4923">
        <w:rPr>
          <w:rFonts w:eastAsia="Book Antiqua"/>
        </w:rPr>
        <w:t>to be inaccurate</w:t>
      </w:r>
      <w:r w:rsidRPr="00AD4923">
        <w:rPr>
          <w:rFonts w:eastAsia="Book Antiqua"/>
        </w:rPr>
        <w:t xml:space="preserve">. </w:t>
      </w:r>
    </w:p>
    <w:p w14:paraId="4CAA7A7A" w14:textId="77777777" w:rsidR="00E95FFE" w:rsidRPr="00AD4923" w:rsidRDefault="00E95FFE" w:rsidP="002750B9">
      <w:pPr>
        <w:pStyle w:val="xmsonormal"/>
        <w:spacing w:before="0" w:beforeAutospacing="0" w:after="0" w:afterAutospacing="0"/>
        <w:jc w:val="both"/>
        <w:rPr>
          <w:rFonts w:eastAsia="Book Antiqua"/>
        </w:rPr>
      </w:pPr>
    </w:p>
    <w:p w14:paraId="43296A0B" w14:textId="22991973" w:rsidR="00E95FFE" w:rsidRPr="00AD4923" w:rsidRDefault="00E95FFE" w:rsidP="002750B9">
      <w:pPr>
        <w:pStyle w:val="xmsonormal"/>
        <w:numPr>
          <w:ilvl w:val="0"/>
          <w:numId w:val="5"/>
        </w:numPr>
        <w:spacing w:before="0" w:beforeAutospacing="0" w:after="0" w:afterAutospacing="0"/>
        <w:jc w:val="both"/>
        <w:rPr>
          <w:rFonts w:eastAsia="Book Antiqua"/>
          <w:b/>
        </w:rPr>
      </w:pPr>
      <w:r w:rsidRPr="00AD4923">
        <w:rPr>
          <w:rFonts w:eastAsia="Book Antiqua"/>
          <w:b/>
        </w:rPr>
        <w:t>Using SSA Flawed Citizenship Data to Disenfranchise Citizen Voters Causes Irreparable Harm</w:t>
      </w:r>
    </w:p>
    <w:p w14:paraId="26D60C07" w14:textId="77777777" w:rsidR="00E95FFE" w:rsidRPr="00AD4923" w:rsidRDefault="00E95FFE" w:rsidP="002750B9">
      <w:pPr>
        <w:pStyle w:val="xmsonormal"/>
        <w:spacing w:before="0" w:beforeAutospacing="0" w:after="0" w:afterAutospacing="0"/>
        <w:jc w:val="both"/>
        <w:rPr>
          <w:rFonts w:eastAsia="Book Antiqua"/>
        </w:rPr>
      </w:pPr>
    </w:p>
    <w:p w14:paraId="7C982ED3" w14:textId="3B1D6FEF" w:rsidR="00E95FFE" w:rsidRPr="00AD4923" w:rsidRDefault="00BD3124" w:rsidP="002750B9">
      <w:pPr>
        <w:pStyle w:val="xmsonormal"/>
        <w:spacing w:before="0" w:beforeAutospacing="0" w:after="0" w:afterAutospacing="0"/>
        <w:jc w:val="both"/>
        <w:rPr>
          <w:rFonts w:eastAsia="Book Antiqua"/>
        </w:rPr>
      </w:pPr>
      <w:r w:rsidRPr="00AD4923">
        <w:rPr>
          <w:rFonts w:eastAsia="Book Antiqua"/>
        </w:rPr>
        <w:t>Relying on inaccurate and incomplete data will cause</w:t>
      </w:r>
      <w:r w:rsidR="00E95FFE" w:rsidRPr="00AD4923">
        <w:rPr>
          <w:rFonts w:eastAsia="Book Antiqua"/>
        </w:rPr>
        <w:t xml:space="preserve"> irreparable harm</w:t>
      </w:r>
      <w:r w:rsidRPr="00AD4923">
        <w:rPr>
          <w:rFonts w:eastAsia="Book Antiqua"/>
        </w:rPr>
        <w:t xml:space="preserve"> to numerous citizens.</w:t>
      </w:r>
      <w:r w:rsidR="00E95FFE" w:rsidRPr="00AD4923">
        <w:rPr>
          <w:rFonts w:eastAsia="Book Antiqua"/>
        </w:rPr>
        <w:t xml:space="preserve"> For example, a native-born citizen could have missing citizenship data in SSA’s </w:t>
      </w:r>
      <w:proofErr w:type="spellStart"/>
      <w:r w:rsidR="00E95FFE" w:rsidRPr="00AD4923">
        <w:rPr>
          <w:rFonts w:eastAsia="Book Antiqua"/>
        </w:rPr>
        <w:t>Numident</w:t>
      </w:r>
      <w:proofErr w:type="spellEnd"/>
      <w:r w:rsidR="00E95FFE" w:rsidRPr="00AD4923">
        <w:rPr>
          <w:rFonts w:eastAsia="Book Antiqua"/>
        </w:rPr>
        <w:t xml:space="preserve"> Files because they were born on U.S. soil in the 1970s, or on a military base abroad more recently. A check in of SSA’s data in SAVE may not confirm their citizenship status. If a state disenrolled them from voter </w:t>
      </w:r>
      <w:proofErr w:type="gramStart"/>
      <w:r w:rsidR="00E95FFE" w:rsidRPr="00AD4923">
        <w:rPr>
          <w:rFonts w:eastAsia="Book Antiqua"/>
        </w:rPr>
        <w:t>rolls</w:t>
      </w:r>
      <w:proofErr w:type="gramEnd"/>
      <w:r w:rsidR="00E95FFE" w:rsidRPr="00AD4923">
        <w:rPr>
          <w:rFonts w:eastAsia="Book Antiqua"/>
        </w:rPr>
        <w:t xml:space="preserve"> on this basis, they would become disenfranchised. Or if the citizen </w:t>
      </w:r>
      <w:proofErr w:type="gramStart"/>
      <w:r w:rsidR="00E95FFE" w:rsidRPr="00AD4923">
        <w:rPr>
          <w:rFonts w:eastAsia="Book Antiqua"/>
        </w:rPr>
        <w:t>was not able to</w:t>
      </w:r>
      <w:proofErr w:type="gramEnd"/>
      <w:r w:rsidR="00E95FFE" w:rsidRPr="00AD4923">
        <w:rPr>
          <w:rFonts w:eastAsia="Book Antiqua"/>
        </w:rPr>
        <w:t xml:space="preserve"> provide alternative proof of citizenship—perhaps because of burdensome paperwork requirements, or due to insufficient time—they could miss their opportunity to vote in an election. </w:t>
      </w:r>
      <w:r w:rsidR="00E95FFE" w:rsidRPr="00AD4923">
        <w:rPr>
          <w:rFonts w:eastAsia="Book Antiqua"/>
        </w:rPr>
        <w:lastRenderedPageBreak/>
        <w:t>To reiterate what the SSA General Counsel said in 2023, “[w]</w:t>
      </w:r>
      <w:proofErr w:type="spellStart"/>
      <w:r w:rsidR="00E95FFE" w:rsidRPr="00AD4923">
        <w:rPr>
          <w:rFonts w:eastAsia="Book Antiqua"/>
        </w:rPr>
        <w:t>hile</w:t>
      </w:r>
      <w:proofErr w:type="spellEnd"/>
      <w:r w:rsidR="00E95FFE" w:rsidRPr="00AD4923">
        <w:rPr>
          <w:rFonts w:eastAsia="Book Antiqua"/>
        </w:rPr>
        <w:t xml:space="preserve"> SSA records provide an indication of citizenship, they do not provide definitive information on U.S. citizenship.”</w:t>
      </w:r>
      <w:r w:rsidR="00E95FFE" w:rsidRPr="00AD4923">
        <w:rPr>
          <w:rStyle w:val="FootnoteReference"/>
          <w:rFonts w:eastAsia="Book Antiqua"/>
        </w:rPr>
        <w:footnoteReference w:id="15"/>
      </w:r>
    </w:p>
    <w:p w14:paraId="0667DBD0" w14:textId="77777777" w:rsidR="00BD3124" w:rsidRPr="00AD4923" w:rsidRDefault="00BD3124" w:rsidP="002750B9">
      <w:pPr>
        <w:pStyle w:val="xmsonormal"/>
        <w:spacing w:before="0" w:beforeAutospacing="0" w:after="0" w:afterAutospacing="0"/>
        <w:jc w:val="both"/>
        <w:rPr>
          <w:rFonts w:eastAsia="Book Antiqua"/>
        </w:rPr>
      </w:pPr>
    </w:p>
    <w:p w14:paraId="22F15145" w14:textId="30126D52" w:rsidR="00BD3124" w:rsidRPr="00AD4923" w:rsidRDefault="00BD3124" w:rsidP="002750B9">
      <w:pPr>
        <w:ind w:left="360" w:hanging="360"/>
        <w:jc w:val="both"/>
        <w:rPr>
          <w:b/>
        </w:rPr>
      </w:pPr>
      <w:r w:rsidRPr="00AD4923">
        <w:rPr>
          <w:b/>
        </w:rPr>
        <w:t>II</w:t>
      </w:r>
      <w:r w:rsidRPr="00AD4923">
        <w:rPr>
          <w:b/>
        </w:rPr>
        <w:t>.</w:t>
      </w:r>
      <w:r w:rsidRPr="00AD4923">
        <w:rPr>
          <w:b/>
        </w:rPr>
        <w:tab/>
        <w:t>The SORN Violates the Privacy Act and the Administrative Procedure Act</w:t>
      </w:r>
    </w:p>
    <w:p w14:paraId="09517375" w14:textId="77777777" w:rsidR="00BD3124" w:rsidRPr="00AD4923" w:rsidRDefault="00BD3124" w:rsidP="002750B9">
      <w:pPr>
        <w:jc w:val="both"/>
      </w:pPr>
    </w:p>
    <w:p w14:paraId="799F5359" w14:textId="54173782" w:rsidR="00CA3841" w:rsidRPr="00AD4923" w:rsidRDefault="00CA3841" w:rsidP="002750B9">
      <w:pPr>
        <w:pStyle w:val="ListParagraph"/>
        <w:numPr>
          <w:ilvl w:val="0"/>
          <w:numId w:val="8"/>
        </w:numPr>
        <w:jc w:val="both"/>
        <w:rPr>
          <w:rFonts w:ascii="Times New Roman" w:hAnsi="Times New Roman" w:cs="Times New Roman"/>
          <w:b/>
          <w:bCs/>
          <w:sz w:val="24"/>
          <w:szCs w:val="24"/>
        </w:rPr>
      </w:pPr>
      <w:r w:rsidRPr="00AD4923">
        <w:rPr>
          <w:rFonts w:ascii="Times New Roman" w:hAnsi="Times New Roman" w:cs="Times New Roman"/>
          <w:b/>
          <w:bCs/>
          <w:sz w:val="24"/>
          <w:szCs w:val="24"/>
        </w:rPr>
        <w:t>The Published Notice was Untimely</w:t>
      </w:r>
    </w:p>
    <w:p w14:paraId="2F80C2C5" w14:textId="76997EB8" w:rsidR="00CA3841" w:rsidRPr="00AD4923" w:rsidRDefault="00BD3124" w:rsidP="002750B9">
      <w:pPr>
        <w:jc w:val="both"/>
      </w:pPr>
      <w:r w:rsidRPr="00AD4923">
        <w:t>Prior to issuance of the SORN, SSA entered into a Letter Agreement with DHS</w:t>
      </w:r>
      <w:r w:rsidRPr="00AD4923">
        <w:rPr>
          <w:rStyle w:val="FootnoteReference"/>
        </w:rPr>
        <w:footnoteReference w:id="16"/>
      </w:r>
      <w:r w:rsidRPr="00AD4923">
        <w:t xml:space="preserve"> dated May 16, 2025</w:t>
      </w:r>
      <w:r w:rsidR="00001605" w:rsidRPr="00AD4923">
        <w:t>,</w:t>
      </w:r>
      <w:r w:rsidRPr="00AD4923">
        <w:t xml:space="preserve"> which was not made public until September 25, 2025. </w:t>
      </w:r>
      <w:r w:rsidR="00CA3841" w:rsidRPr="00AD4923">
        <w:t xml:space="preserve">Because no prior notice was published before </w:t>
      </w:r>
      <w:proofErr w:type="gramStart"/>
      <w:r w:rsidR="00CA3841" w:rsidRPr="00AD4923">
        <w:t>entering into</w:t>
      </w:r>
      <w:proofErr w:type="gramEnd"/>
      <w:r w:rsidR="00CA3841" w:rsidRPr="00AD4923">
        <w:t xml:space="preserve"> this “letter agreement,” </w:t>
      </w:r>
      <w:r w:rsidR="00CA3841" w:rsidRPr="00AD4923">
        <w:t xml:space="preserve">the agreement, and subsequent untimely SORN violates the Administrative Procedure Act. </w:t>
      </w:r>
    </w:p>
    <w:p w14:paraId="366F035B" w14:textId="77777777" w:rsidR="00CA3841" w:rsidRPr="00AD4923" w:rsidRDefault="00CA3841" w:rsidP="002750B9">
      <w:pPr>
        <w:jc w:val="both"/>
      </w:pPr>
    </w:p>
    <w:p w14:paraId="14C705AE" w14:textId="6218EE26" w:rsidR="00BD3124" w:rsidRPr="00AD4923" w:rsidRDefault="00CA3841" w:rsidP="002750B9">
      <w:pPr>
        <w:jc w:val="both"/>
      </w:pPr>
      <w:r w:rsidRPr="00AD4923">
        <w:t>The</w:t>
      </w:r>
      <w:r w:rsidR="00BD3124" w:rsidRPr="00AD4923">
        <w:t xml:space="preserve"> Letter Agreement </w:t>
      </w:r>
      <w:r w:rsidRPr="00AD4923">
        <w:t xml:space="preserve">in question </w:t>
      </w:r>
      <w:r w:rsidR="00BD3124" w:rsidRPr="00AD4923">
        <w:t>provides that SSA will share the following information with the U.S. Citizenship and Immigration Services: SSN Match (True/False); Full SSN for all matches (when partial SSN is provided); Name Match (True/False); Date of Birth Match (True/False); Citizenship/Foreign Indicator (using codes for status); Alien Registration Number (when applicable); Death Indicator; and Error code descriptions.</w:t>
      </w:r>
      <w:r w:rsidR="00BD3124" w:rsidRPr="00AD4923">
        <w:rPr>
          <w:rStyle w:val="FootnoteReference"/>
        </w:rPr>
        <w:footnoteReference w:id="17"/>
      </w:r>
      <w:r w:rsidR="00BD3124" w:rsidRPr="00AD4923">
        <w:t xml:space="preserve"> </w:t>
      </w:r>
    </w:p>
    <w:p w14:paraId="3231A433" w14:textId="77777777" w:rsidR="00BD3124" w:rsidRPr="00AD4923" w:rsidRDefault="00BD3124" w:rsidP="002750B9">
      <w:pPr>
        <w:jc w:val="both"/>
      </w:pPr>
    </w:p>
    <w:p w14:paraId="35751703" w14:textId="77777777" w:rsidR="00BD3124" w:rsidRPr="00AD4923" w:rsidRDefault="00BD3124" w:rsidP="002750B9">
      <w:pPr>
        <w:jc w:val="both"/>
      </w:pPr>
      <w:r w:rsidRPr="00AD4923">
        <w:t>Moreover, the Letter Agreement with DHS allows bulk searches to SSA.</w:t>
      </w:r>
      <w:r w:rsidRPr="00AD4923">
        <w:rPr>
          <w:rStyle w:val="FootnoteReference"/>
        </w:rPr>
        <w:footnoteReference w:id="18"/>
      </w:r>
      <w:r w:rsidRPr="00AD4923">
        <w:t xml:space="preserve"> The Letter Agreement also provides that DHS will maintain information provided to it by SSA in the SAVE system.</w:t>
      </w:r>
      <w:r w:rsidRPr="00AD4923">
        <w:rPr>
          <w:rStyle w:val="FootnoteReference"/>
        </w:rPr>
        <w:footnoteReference w:id="19"/>
      </w:r>
      <w:r w:rsidRPr="00AD4923">
        <w:t xml:space="preserve"> As the Department of Homeland Security provides in its October 31, </w:t>
      </w:r>
      <w:proofErr w:type="gramStart"/>
      <w:r w:rsidRPr="00AD4923">
        <w:t>2025</w:t>
      </w:r>
      <w:proofErr w:type="gramEnd"/>
      <w:r w:rsidRPr="00AD4923">
        <w:t xml:space="preserve"> SORN:</w:t>
      </w:r>
    </w:p>
    <w:p w14:paraId="6800A9CD" w14:textId="77777777" w:rsidR="00BD3124" w:rsidRPr="00AD4923" w:rsidRDefault="00BD3124" w:rsidP="002750B9">
      <w:pPr>
        <w:jc w:val="both"/>
      </w:pPr>
    </w:p>
    <w:p w14:paraId="2FC57402" w14:textId="59F87FF8" w:rsidR="00BD3124" w:rsidRPr="00AD4923" w:rsidRDefault="00BD3124" w:rsidP="002750B9">
      <w:pPr>
        <w:ind w:left="360"/>
        <w:jc w:val="both"/>
      </w:pPr>
      <w:r w:rsidRPr="00AD4923">
        <w:t>This search functionality allows SAVE the capability to verify the Social Security number and U.S. citizen indicators of many U.S. citizens by birth, as found in the Enumeration System [</w:t>
      </w:r>
      <w:proofErr w:type="spellStart"/>
      <w:r w:rsidRPr="00AD4923">
        <w:t>Numident</w:t>
      </w:r>
      <w:proofErr w:type="spellEnd"/>
      <w:r w:rsidRPr="00AD4923">
        <w:t xml:space="preserve"> Files]. This is an expansion from the previous SAVE functionality, which limited U.S. citizenship verification to DHS records of naturalized and certain acquired U.S. citizens.</w:t>
      </w:r>
      <w:r w:rsidRPr="00AD4923">
        <w:rPr>
          <w:rStyle w:val="FootnoteReference"/>
        </w:rPr>
        <w:footnoteReference w:id="20"/>
      </w:r>
    </w:p>
    <w:p w14:paraId="6A3D91BD" w14:textId="77777777" w:rsidR="004702B7" w:rsidRPr="00AD4923" w:rsidRDefault="004702B7" w:rsidP="002750B9">
      <w:pPr>
        <w:ind w:left="360"/>
        <w:jc w:val="both"/>
      </w:pPr>
    </w:p>
    <w:p w14:paraId="1D5B849A" w14:textId="77777777" w:rsidR="004702B7" w:rsidRPr="00AD4923" w:rsidRDefault="00BD3124" w:rsidP="002750B9">
      <w:pPr>
        <w:jc w:val="both"/>
      </w:pPr>
      <w:r w:rsidRPr="00AD4923">
        <w:t xml:space="preserve">SSA’s failure to publish the 2025 SORN before implementing data-sharing with DHS resulted in at least two procedural violations of the Privacy Act. First, when an agency “establish[es] or </w:t>
      </w:r>
      <w:proofErr w:type="spellStart"/>
      <w:r w:rsidRPr="00AD4923">
        <w:t>revis</w:t>
      </w:r>
      <w:proofErr w:type="spellEnd"/>
      <w:r w:rsidRPr="00AD4923">
        <w:t>[es]” any “system of records,” it is required to “publish in the Federal Register … a notice of the existence and character of the system of records.”</w:t>
      </w:r>
      <w:r w:rsidRPr="00AD4923">
        <w:rPr>
          <w:rStyle w:val="FootnoteReference"/>
        </w:rPr>
        <w:footnoteReference w:id="21"/>
      </w:r>
      <w:r w:rsidRPr="00AD4923">
        <w:t xml:space="preserve"> SSA failed to do so when it entered into its Letter Agreement with DHS on May 2025. </w:t>
      </w:r>
    </w:p>
    <w:p w14:paraId="635628FA" w14:textId="77777777" w:rsidR="004702B7" w:rsidRPr="00AD4923" w:rsidRDefault="004702B7" w:rsidP="002750B9">
      <w:pPr>
        <w:jc w:val="both"/>
      </w:pPr>
    </w:p>
    <w:p w14:paraId="1E1BBB3C" w14:textId="77777777" w:rsidR="00CA3841" w:rsidRPr="00AD4923" w:rsidRDefault="00BD3124" w:rsidP="002750B9">
      <w:pPr>
        <w:jc w:val="both"/>
      </w:pPr>
      <w:r w:rsidRPr="00AD4923">
        <w:t>Second, an agency must “publish in the Federal Register notice of any new use or intended use of the information in the system, and provide an opportunity for interested persons to submit written data, views, or arguments to the agency” at least 30 days before using the system in the new ways.</w:t>
      </w:r>
      <w:r w:rsidRPr="00AD4923">
        <w:rPr>
          <w:rStyle w:val="FootnoteReference"/>
        </w:rPr>
        <w:footnoteReference w:id="22"/>
      </w:r>
      <w:r w:rsidRPr="00AD4923">
        <w:t xml:space="preserve"> SSA failed to provide advance notice in violation of the Privacy Act. </w:t>
      </w:r>
    </w:p>
    <w:p w14:paraId="4E6F13F1" w14:textId="77777777" w:rsidR="00CA3841" w:rsidRPr="00AD4923" w:rsidRDefault="00CA3841" w:rsidP="002750B9">
      <w:pPr>
        <w:jc w:val="both"/>
      </w:pPr>
    </w:p>
    <w:p w14:paraId="6776769D" w14:textId="7289330A" w:rsidR="00CD3F28" w:rsidRPr="00AD4923" w:rsidRDefault="00CD3F28" w:rsidP="002750B9">
      <w:pPr>
        <w:pStyle w:val="ListParagraph"/>
        <w:numPr>
          <w:ilvl w:val="0"/>
          <w:numId w:val="8"/>
        </w:numPr>
        <w:jc w:val="both"/>
        <w:rPr>
          <w:rFonts w:ascii="Times New Roman" w:hAnsi="Times New Roman" w:cs="Times New Roman"/>
          <w:b/>
          <w:bCs/>
          <w:sz w:val="24"/>
          <w:szCs w:val="24"/>
        </w:rPr>
      </w:pPr>
      <w:r w:rsidRPr="00AD4923">
        <w:rPr>
          <w:rFonts w:ascii="Times New Roman" w:hAnsi="Times New Roman" w:cs="Times New Roman"/>
          <w:b/>
          <w:bCs/>
          <w:sz w:val="24"/>
          <w:szCs w:val="24"/>
        </w:rPr>
        <w:lastRenderedPageBreak/>
        <w:t>The Intended Use of the Information is Not a Permitted Use</w:t>
      </w:r>
    </w:p>
    <w:p w14:paraId="1403C724" w14:textId="50829E8B" w:rsidR="00BD3124" w:rsidRPr="00AD4923" w:rsidRDefault="00CD3F28" w:rsidP="002750B9">
      <w:pPr>
        <w:jc w:val="both"/>
      </w:pPr>
      <w:r w:rsidRPr="00AD4923">
        <w:t>In the untimely published notice,</w:t>
      </w:r>
      <w:r w:rsidR="00CA3841" w:rsidRPr="00AD4923">
        <w:t xml:space="preserve"> </w:t>
      </w:r>
      <w:r w:rsidR="00BD3124" w:rsidRPr="00AD4923">
        <w:t xml:space="preserve">DHS </w:t>
      </w:r>
      <w:r w:rsidRPr="00AD4923">
        <w:t xml:space="preserve">indicates that they </w:t>
      </w:r>
      <w:r w:rsidR="00CA3841" w:rsidRPr="00AD4923">
        <w:t>intend to use the data for</w:t>
      </w:r>
      <w:r w:rsidRPr="00AD4923">
        <w:t xml:space="preserve"> </w:t>
      </w:r>
      <w:r w:rsidR="00BD3124" w:rsidRPr="00AD4923">
        <w:t>voter verification</w:t>
      </w:r>
      <w:r w:rsidR="00CA3841" w:rsidRPr="00AD4923">
        <w:t>,</w:t>
      </w:r>
      <w:r w:rsidR="00BD3124" w:rsidRPr="00AD4923">
        <w:rPr>
          <w:rStyle w:val="FootnoteReference"/>
        </w:rPr>
        <w:footnoteReference w:id="23"/>
      </w:r>
      <w:r w:rsidRPr="00AD4923">
        <w:t xml:space="preserve"> which</w:t>
      </w:r>
      <w:r w:rsidR="00BD3124" w:rsidRPr="00AD4923">
        <w:t xml:space="preserve"> is not</w:t>
      </w:r>
      <w:r w:rsidR="00CA3841" w:rsidRPr="00AD4923">
        <w:t xml:space="preserve"> </w:t>
      </w:r>
      <w:proofErr w:type="gramStart"/>
      <w:r w:rsidR="00CA3841" w:rsidRPr="00AD4923">
        <w:t>a</w:t>
      </w:r>
      <w:r w:rsidR="00BD3124" w:rsidRPr="00AD4923">
        <w:t xml:space="preserve"> permitted</w:t>
      </w:r>
      <w:proofErr w:type="gramEnd"/>
      <w:r w:rsidR="00BD3124" w:rsidRPr="00AD4923">
        <w:t xml:space="preserve"> </w:t>
      </w:r>
      <w:r w:rsidR="00CA3841" w:rsidRPr="00AD4923">
        <w:t xml:space="preserve">use </w:t>
      </w:r>
      <w:r w:rsidR="00BD3124" w:rsidRPr="00AD4923">
        <w:t>pursuant to the Privacy Act</w:t>
      </w:r>
      <w:r w:rsidR="00BD3124" w:rsidRPr="00AD4923">
        <w:rPr>
          <w:rStyle w:val="FootnoteReference"/>
        </w:rPr>
        <w:footnoteReference w:id="24"/>
      </w:r>
      <w:r w:rsidR="00BD3124" w:rsidRPr="00AD4923">
        <w:t xml:space="preserve"> for two reasons. </w:t>
      </w:r>
    </w:p>
    <w:p w14:paraId="6FFB686C" w14:textId="77777777" w:rsidR="00BD3124" w:rsidRPr="00AD4923" w:rsidRDefault="00BD3124" w:rsidP="002750B9">
      <w:pPr>
        <w:jc w:val="both"/>
      </w:pPr>
    </w:p>
    <w:p w14:paraId="1AE1E7DB" w14:textId="27488123" w:rsidR="00BD3124" w:rsidRPr="00AD4923" w:rsidRDefault="00BD3124" w:rsidP="002750B9">
      <w:pPr>
        <w:jc w:val="both"/>
      </w:pPr>
      <w:r w:rsidRPr="00AD4923">
        <w:t>First,</w:t>
      </w:r>
      <w:r w:rsidR="00CD3F28" w:rsidRPr="00AD4923">
        <w:t xml:space="preserve"> as described above,</w:t>
      </w:r>
      <w:r w:rsidRPr="00AD4923">
        <w:t xml:space="preserve"> the SSA data is ill-suited</w:t>
      </w:r>
      <w:r w:rsidR="00CD3F28" w:rsidRPr="00AD4923">
        <w:t xml:space="preserve"> to DHS’ goals</w:t>
      </w:r>
      <w:r w:rsidRPr="00AD4923">
        <w:t xml:space="preserve"> </w:t>
      </w:r>
      <w:r w:rsidR="00CD3F28" w:rsidRPr="00AD4923">
        <w:t>of determining whether an SSN-holder in SSA’s system is a citizen or no</w:t>
      </w:r>
      <w:r w:rsidR="00CD3F28" w:rsidRPr="00AD4923">
        <w:t xml:space="preserve">t. </w:t>
      </w:r>
      <w:r w:rsidRPr="00AD4923">
        <w:t>Allowing states to access DHS’s SAVE system to query SSA</w:t>
      </w:r>
      <w:r w:rsidR="00CD3F28" w:rsidRPr="00AD4923">
        <w:t>’s</w:t>
      </w:r>
      <w:r w:rsidRPr="00AD4923">
        <w:t xml:space="preserve"> inaccurate and incomplete citizenship data should not be considered a “routine use.” </w:t>
      </w:r>
    </w:p>
    <w:p w14:paraId="67887055" w14:textId="77777777" w:rsidR="00BD3124" w:rsidRPr="00AD4923" w:rsidRDefault="00BD3124" w:rsidP="002750B9">
      <w:pPr>
        <w:jc w:val="both"/>
      </w:pPr>
    </w:p>
    <w:p w14:paraId="784A5A6C" w14:textId="32C65ABF" w:rsidR="00BD3124" w:rsidRPr="00AD4923" w:rsidRDefault="00BD3124" w:rsidP="002750B9">
      <w:pPr>
        <w:jc w:val="both"/>
      </w:pPr>
      <w:r w:rsidRPr="00AD4923">
        <w:t xml:space="preserve">Second, neither SSA’s SORN </w:t>
      </w:r>
      <w:r w:rsidR="00D11518" w:rsidRPr="00AD4923">
        <w:t>n</w:t>
      </w:r>
      <w:r w:rsidRPr="00AD4923">
        <w:t>or the SORN issued by DHS points to any statutory or other authority to justify the collection, maintenance, use, or dissemination of voter data. Neither SSA nor DHS play a role in voter role maintenance at the state level. Congress, pursuant to its authority under the U.S. Constitution’s Elections Clause, charges states with voter list maintenance. Accordingly, state and local election office</w:t>
      </w:r>
      <w:r w:rsidR="00D11518" w:rsidRPr="00AD4923">
        <w:t>s have the authority to</w:t>
      </w:r>
      <w:r w:rsidRPr="00AD4923">
        <w:t xml:space="preserve"> add and remove registered voters from registration lists—not the federal government. Moreover, because there is no federal statute assigning any role in the process to the Executive Branch, there is no legal way that DHS is allowed to accomplish voter list maintenance. SSA’s SORN provides no explanation of how sharing flawed “citizenship” data with DHS, and by extension </w:t>
      </w:r>
      <w:r w:rsidR="00D11518" w:rsidRPr="00AD4923">
        <w:t xml:space="preserve">the </w:t>
      </w:r>
      <w:r w:rsidRPr="00AD4923">
        <w:t>states</w:t>
      </w:r>
      <w:r w:rsidR="00D11518" w:rsidRPr="00AD4923">
        <w:t>,</w:t>
      </w:r>
      <w:r w:rsidRPr="00AD4923">
        <w:t xml:space="preserve"> using DHS’s SAVE system to verify voters’ citizenship status, would satisfy the Privacy Act’s “relevant and necessary” standard. </w:t>
      </w:r>
    </w:p>
    <w:p w14:paraId="577BD080" w14:textId="77777777" w:rsidR="00BD3124" w:rsidRPr="00AD4923" w:rsidRDefault="00BD3124" w:rsidP="002750B9">
      <w:pPr>
        <w:jc w:val="both"/>
      </w:pPr>
    </w:p>
    <w:p w14:paraId="43FAB4A9" w14:textId="5A73DD95" w:rsidR="00BD3124" w:rsidRPr="00AD4923" w:rsidRDefault="00BD3124" w:rsidP="002750B9">
      <w:pPr>
        <w:pStyle w:val="ListParagraph"/>
        <w:numPr>
          <w:ilvl w:val="0"/>
          <w:numId w:val="8"/>
        </w:numPr>
        <w:jc w:val="both"/>
        <w:rPr>
          <w:rFonts w:ascii="Times New Roman" w:hAnsi="Times New Roman" w:cs="Times New Roman"/>
          <w:b/>
          <w:sz w:val="24"/>
          <w:szCs w:val="24"/>
        </w:rPr>
      </w:pPr>
      <w:r w:rsidRPr="00AD4923">
        <w:rPr>
          <w:rFonts w:ascii="Times New Roman" w:hAnsi="Times New Roman" w:cs="Times New Roman"/>
          <w:b/>
          <w:sz w:val="24"/>
          <w:szCs w:val="24"/>
        </w:rPr>
        <w:t xml:space="preserve">The Privacy Act’s Legislative History Condemned Creation of National Data Banks </w:t>
      </w:r>
    </w:p>
    <w:p w14:paraId="67EFBEDA" w14:textId="232C1EF2" w:rsidR="00BD3124" w:rsidRPr="00AD4923" w:rsidRDefault="00BD3124" w:rsidP="002750B9">
      <w:pPr>
        <w:jc w:val="both"/>
      </w:pPr>
      <w:r w:rsidRPr="00AD4923">
        <w:t>In passing the Privacy Act of 1974, Congress warned against the federal government creating “formal or de facto national data banks” or “centralized Federal information systems” that would consolidate sensitive personal data of Americans stored at separate agencies.</w:t>
      </w:r>
      <w:r w:rsidRPr="00AD4923">
        <w:rPr>
          <w:rStyle w:val="FootnoteReference"/>
        </w:rPr>
        <w:footnoteReference w:id="25"/>
      </w:r>
      <w:r w:rsidRPr="00AD4923">
        <w:t xml:space="preserve"> Congress established robust safeguards against such “interagency computer data banks” to make it “legally impossible for the Federal Government in the future to put together anything resembling a ‘1984’ personal dossier on a citizen,” and to ensure that “interagency data banks will not be able to share personal information unless the data is a truly routine transfer where its general use has already been made known to the individual and his consent obtained.”</w:t>
      </w:r>
      <w:r w:rsidRPr="00AD4923">
        <w:rPr>
          <w:rStyle w:val="FootnoteReference"/>
        </w:rPr>
        <w:footnoteReference w:id="26"/>
      </w:r>
      <w:r w:rsidRPr="00AD4923">
        <w:t xml:space="preserve"> </w:t>
      </w:r>
      <w:r w:rsidR="00D11518" w:rsidRPr="00AD4923">
        <w:t xml:space="preserve">We agree with Congress’ original concerns and encourage careful consideration about the severe consequences of sharing inaccurate and incomplete data. </w:t>
      </w:r>
    </w:p>
    <w:p w14:paraId="737999F1" w14:textId="77777777" w:rsidR="00BD3124" w:rsidRPr="00AD4923" w:rsidRDefault="00BD3124" w:rsidP="002750B9">
      <w:pPr>
        <w:jc w:val="both"/>
      </w:pPr>
    </w:p>
    <w:p w14:paraId="1B13B035" w14:textId="2788E253" w:rsidR="00BD3124" w:rsidRPr="00AD4923" w:rsidRDefault="00BD3124" w:rsidP="002750B9">
      <w:pPr>
        <w:pStyle w:val="ListParagraph"/>
        <w:numPr>
          <w:ilvl w:val="0"/>
          <w:numId w:val="8"/>
        </w:numPr>
        <w:jc w:val="both"/>
        <w:rPr>
          <w:rFonts w:ascii="Times New Roman" w:hAnsi="Times New Roman" w:cs="Times New Roman"/>
          <w:b/>
          <w:sz w:val="24"/>
          <w:szCs w:val="24"/>
        </w:rPr>
      </w:pPr>
      <w:r w:rsidRPr="00AD4923">
        <w:rPr>
          <w:rFonts w:ascii="Times New Roman" w:hAnsi="Times New Roman" w:cs="Times New Roman"/>
          <w:b/>
          <w:sz w:val="24"/>
          <w:szCs w:val="24"/>
        </w:rPr>
        <w:t>The SORN Violates the Administrative Procedure Act’s Arbitrary and Capricious Action Clause</w:t>
      </w:r>
    </w:p>
    <w:p w14:paraId="20EC3300" w14:textId="394106B0" w:rsidR="00BD3124" w:rsidRPr="00AD4923" w:rsidRDefault="00BD3124" w:rsidP="002750B9">
      <w:pPr>
        <w:jc w:val="both"/>
      </w:pPr>
      <w:proofErr w:type="gramStart"/>
      <w:r w:rsidRPr="00AD4923">
        <w:t>The SORN</w:t>
      </w:r>
      <w:proofErr w:type="gramEnd"/>
      <w:r w:rsidRPr="00AD4923">
        <w:t xml:space="preserve"> also violates the Administrative Procedure Act (APA). The APA requires courts to “hold unlawful and set aside agency action” that is “arbitrary” and “capricious.”</w:t>
      </w:r>
      <w:r w:rsidRPr="00AD4923">
        <w:rPr>
          <w:rStyle w:val="FootnoteReference"/>
        </w:rPr>
        <w:footnoteReference w:id="27"/>
      </w:r>
      <w:r w:rsidRPr="00AD4923">
        <w:t xml:space="preserve"> This standard requires agencies to engage in reasoned decision-making and to reasonably explain the bases for </w:t>
      </w:r>
      <w:r w:rsidRPr="00AD4923">
        <w:lastRenderedPageBreak/>
        <w:t>the actions they take and the conclusions they reach. Decisions that were not based on relevant factors should be set aside if there is a clear error of judgment. SSA’s SORN fails this test</w:t>
      </w:r>
      <w:r w:rsidR="0016733F" w:rsidRPr="00AD4923">
        <w:t>.</w:t>
      </w:r>
      <w:r w:rsidRPr="00AD4923">
        <w:t xml:space="preserve"> </w:t>
      </w:r>
    </w:p>
    <w:p w14:paraId="206D445E" w14:textId="77777777" w:rsidR="00BD3124" w:rsidRPr="00AD4923" w:rsidRDefault="00BD3124" w:rsidP="002750B9">
      <w:pPr>
        <w:jc w:val="both"/>
      </w:pPr>
    </w:p>
    <w:p w14:paraId="6BE60ABF" w14:textId="771B125B" w:rsidR="00BD3124" w:rsidRPr="00AD4923" w:rsidRDefault="0016733F" w:rsidP="002750B9">
      <w:pPr>
        <w:jc w:val="both"/>
      </w:pPr>
      <w:r w:rsidRPr="00AD4923">
        <w:t xml:space="preserve">As noted, </w:t>
      </w:r>
      <w:r w:rsidR="00BD3124" w:rsidRPr="00AD4923">
        <w:t>SSA</w:t>
      </w:r>
      <w:r w:rsidRPr="00AD4923">
        <w:t xml:space="preserve">’s </w:t>
      </w:r>
      <w:r w:rsidR="00BD3124" w:rsidRPr="00AD4923">
        <w:t>citizenship data is incomplete and unreliable</w:t>
      </w:r>
      <w:r w:rsidRPr="00AD4923">
        <w:t xml:space="preserve">, it lacks </w:t>
      </w:r>
      <w:r w:rsidR="00BD3124" w:rsidRPr="00AD4923">
        <w:t>complete data for U.S.-born citizens born before 1981</w:t>
      </w:r>
      <w:r w:rsidR="00447074" w:rsidRPr="00AD4923">
        <w:t xml:space="preserve">, and it has an </w:t>
      </w:r>
      <w:r w:rsidR="00BD3124" w:rsidRPr="00AD4923">
        <w:t xml:space="preserve">error rate of approximately six percent. </w:t>
      </w:r>
    </w:p>
    <w:p w14:paraId="73372F01" w14:textId="77777777" w:rsidR="00BD3124" w:rsidRPr="00AD4923" w:rsidRDefault="00BD3124" w:rsidP="002750B9">
      <w:pPr>
        <w:jc w:val="both"/>
      </w:pPr>
    </w:p>
    <w:p w14:paraId="27132FAD" w14:textId="68746085" w:rsidR="00BD3124" w:rsidRPr="00AD4923" w:rsidRDefault="00BD3124" w:rsidP="002750B9">
      <w:pPr>
        <w:jc w:val="both"/>
      </w:pPr>
      <w:r w:rsidRPr="00AD4923">
        <w:t xml:space="preserve">These known issues </w:t>
      </w:r>
      <w:r w:rsidR="00447074" w:rsidRPr="00AD4923">
        <w:t>with</w:t>
      </w:r>
      <w:r w:rsidRPr="00AD4923">
        <w:t xml:space="preserve"> SSA’s citizenship data in its </w:t>
      </w:r>
      <w:proofErr w:type="spellStart"/>
      <w:r w:rsidRPr="00AD4923">
        <w:t>Numident</w:t>
      </w:r>
      <w:proofErr w:type="spellEnd"/>
      <w:r w:rsidRPr="00AD4923">
        <w:t xml:space="preserve"> Files were clearly relevant factors that SSA and DHS should have considered before incorporating that data into SAVE. The Privacy Act requires agencies “to assure,” prior to disclosing records about individuals, that the records “are accurate, complete, timely, and relevant for agency purposes,”</w:t>
      </w:r>
      <w:r w:rsidRPr="00AD4923">
        <w:rPr>
          <w:rStyle w:val="FootnoteReference"/>
        </w:rPr>
        <w:footnoteReference w:id="28"/>
      </w:r>
      <w:r w:rsidRPr="00AD4923">
        <w:t xml:space="preserve"> and to adopt appropriate … safeguards” for any system of records “to protect against any anticipated threats or hazards to [the records’] security or integrity which could result in substantial harm, embarrassment, inconvenience, or unfairness to any individual on whom information is maintained.”</w:t>
      </w:r>
      <w:r w:rsidRPr="00AD4923">
        <w:rPr>
          <w:rStyle w:val="FootnoteReference"/>
        </w:rPr>
        <w:footnoteReference w:id="29"/>
      </w:r>
      <w:r w:rsidRPr="00AD4923">
        <w:t xml:space="preserve"> </w:t>
      </w:r>
    </w:p>
    <w:p w14:paraId="2618D27F" w14:textId="77777777" w:rsidR="00BD3124" w:rsidRPr="00AD4923" w:rsidRDefault="00BD3124" w:rsidP="002750B9">
      <w:pPr>
        <w:jc w:val="both"/>
      </w:pPr>
    </w:p>
    <w:p w14:paraId="21501307" w14:textId="4882EA16" w:rsidR="00BD3124" w:rsidRPr="00AD4923" w:rsidRDefault="00BD3124" w:rsidP="002750B9">
      <w:pPr>
        <w:jc w:val="both"/>
      </w:pPr>
      <w:r w:rsidRPr="00AD4923">
        <w:t>SSA’s and DHS’s reasoning for expanding SAVE with SSA data rests on a false premise—that noncitizen voting is pervasive in the United States. DHS explained the SAVE overhaul as necessary to “eliminate voter fraud” by “prevent[</w:t>
      </w:r>
      <w:proofErr w:type="spellStart"/>
      <w:r w:rsidRPr="00AD4923">
        <w:t>ing</w:t>
      </w:r>
      <w:proofErr w:type="spellEnd"/>
      <w:r w:rsidRPr="00AD4923">
        <w:t>] aliens from voting in American elections.</w:t>
      </w:r>
      <w:r w:rsidRPr="00AD4923">
        <w:rPr>
          <w:rStyle w:val="FootnoteReference"/>
        </w:rPr>
        <w:footnoteReference w:id="30"/>
      </w:r>
      <w:r w:rsidRPr="00AD4923">
        <w:t xml:space="preserve"> Due to these issues with citizenship data in the </w:t>
      </w:r>
      <w:proofErr w:type="spellStart"/>
      <w:r w:rsidRPr="00AD4923">
        <w:t>Numident</w:t>
      </w:r>
      <w:proofErr w:type="spellEnd"/>
      <w:r w:rsidRPr="00AD4923">
        <w:t xml:space="preserve"> Files, SSA’s decision to share the data with DHS for purposes of proving citizenship status is arbitrary and capricious. DHS and SSA failed to sufficiently consider</w:t>
      </w:r>
      <w:r w:rsidR="00447074" w:rsidRPr="00AD4923">
        <w:t xml:space="preserve"> the</w:t>
      </w:r>
      <w:r w:rsidRPr="00AD4923">
        <w:t xml:space="preserve"> privacy</w:t>
      </w:r>
      <w:r w:rsidRPr="00AD4923">
        <w:rPr>
          <w:rStyle w:val="FootnoteReference"/>
        </w:rPr>
        <w:footnoteReference w:id="31"/>
      </w:r>
      <w:r w:rsidRPr="00AD4923">
        <w:t xml:space="preserve"> and data-security risks of expanding SAVE to allow user agencies to conduct bulk queries of SSA databases with sensitive personal information for over three hundred million Americans. </w:t>
      </w:r>
    </w:p>
    <w:p w14:paraId="14D3F882" w14:textId="77777777" w:rsidR="00BD3124" w:rsidRPr="00AD4923" w:rsidRDefault="00BD3124" w:rsidP="002750B9">
      <w:pPr>
        <w:pStyle w:val="xmsonormal"/>
        <w:spacing w:before="0" w:beforeAutospacing="0" w:after="0" w:afterAutospacing="0"/>
        <w:jc w:val="both"/>
        <w:rPr>
          <w:rFonts w:eastAsia="Book Antiqua"/>
        </w:rPr>
      </w:pPr>
    </w:p>
    <w:p w14:paraId="75493D06" w14:textId="171388C7" w:rsidR="00E95FFE" w:rsidRPr="00AD4923" w:rsidRDefault="00447074" w:rsidP="002750B9">
      <w:pPr>
        <w:pStyle w:val="ListParagraph"/>
        <w:numPr>
          <w:ilvl w:val="0"/>
          <w:numId w:val="9"/>
        </w:numPr>
        <w:jc w:val="both"/>
        <w:rPr>
          <w:rFonts w:ascii="Times New Roman" w:hAnsi="Times New Roman" w:cs="Times New Roman"/>
          <w:b/>
          <w:bCs/>
          <w:sz w:val="24"/>
          <w:szCs w:val="24"/>
        </w:rPr>
      </w:pPr>
      <w:r w:rsidRPr="00AD4923">
        <w:rPr>
          <w:rFonts w:ascii="Times New Roman" w:hAnsi="Times New Roman" w:cs="Times New Roman"/>
          <w:b/>
          <w:bCs/>
          <w:color w:val="000000" w:themeColor="text1"/>
          <w:sz w:val="24"/>
          <w:szCs w:val="24"/>
        </w:rPr>
        <w:t xml:space="preserve">SSA’s </w:t>
      </w:r>
      <w:r w:rsidRPr="00AD4923">
        <w:rPr>
          <w:rFonts w:ascii="Times New Roman" w:hAnsi="Times New Roman" w:cs="Times New Roman"/>
          <w:b/>
          <w:bCs/>
          <w:color w:val="000000" w:themeColor="text1"/>
          <w:sz w:val="24"/>
          <w:szCs w:val="24"/>
        </w:rPr>
        <w:t>R</w:t>
      </w:r>
      <w:r w:rsidRPr="00AD4923">
        <w:rPr>
          <w:rFonts w:ascii="Times New Roman" w:hAnsi="Times New Roman" w:cs="Times New Roman"/>
          <w:b/>
          <w:bCs/>
          <w:color w:val="000000" w:themeColor="text1"/>
          <w:sz w:val="24"/>
          <w:szCs w:val="24"/>
        </w:rPr>
        <w:t xml:space="preserve">eliance on 8 U.S.C. § 1373(a) </w:t>
      </w:r>
      <w:r w:rsidRPr="00AD4923">
        <w:rPr>
          <w:rFonts w:ascii="Times New Roman" w:hAnsi="Times New Roman" w:cs="Times New Roman"/>
          <w:b/>
          <w:bCs/>
          <w:color w:val="000000" w:themeColor="text1"/>
          <w:sz w:val="24"/>
          <w:szCs w:val="24"/>
        </w:rPr>
        <w:t>Necessitates</w:t>
      </w:r>
      <w:r w:rsidRPr="00AD4923">
        <w:rPr>
          <w:rFonts w:ascii="Times New Roman" w:hAnsi="Times New Roman" w:cs="Times New Roman"/>
          <w:b/>
          <w:bCs/>
          <w:color w:val="000000" w:themeColor="text1"/>
          <w:sz w:val="24"/>
          <w:szCs w:val="24"/>
        </w:rPr>
        <w:t xml:space="preserve"> </w:t>
      </w:r>
      <w:r w:rsidRPr="00AD4923">
        <w:rPr>
          <w:rFonts w:ascii="Times New Roman" w:hAnsi="Times New Roman" w:cs="Times New Roman"/>
          <w:b/>
          <w:bCs/>
          <w:color w:val="000000" w:themeColor="text1"/>
          <w:sz w:val="24"/>
          <w:szCs w:val="24"/>
        </w:rPr>
        <w:t>an I</w:t>
      </w:r>
      <w:r w:rsidRPr="00AD4923">
        <w:rPr>
          <w:rFonts w:ascii="Times New Roman" w:hAnsi="Times New Roman" w:cs="Times New Roman"/>
          <w:b/>
          <w:bCs/>
          <w:color w:val="000000" w:themeColor="text1"/>
          <w:sz w:val="24"/>
          <w:szCs w:val="24"/>
        </w:rPr>
        <w:t xml:space="preserve">naccurate </w:t>
      </w:r>
      <w:r w:rsidRPr="00AD4923">
        <w:rPr>
          <w:rFonts w:ascii="Times New Roman" w:hAnsi="Times New Roman" w:cs="Times New Roman"/>
          <w:b/>
          <w:bCs/>
          <w:color w:val="000000" w:themeColor="text1"/>
          <w:sz w:val="24"/>
          <w:szCs w:val="24"/>
        </w:rPr>
        <w:t>R</w:t>
      </w:r>
      <w:r w:rsidRPr="00AD4923">
        <w:rPr>
          <w:rFonts w:ascii="Times New Roman" w:hAnsi="Times New Roman" w:cs="Times New Roman"/>
          <w:b/>
          <w:bCs/>
          <w:color w:val="000000" w:themeColor="text1"/>
          <w:sz w:val="24"/>
          <w:szCs w:val="24"/>
        </w:rPr>
        <w:t xml:space="preserve">eading of the </w:t>
      </w:r>
      <w:r w:rsidRPr="00AD4923">
        <w:rPr>
          <w:rFonts w:ascii="Times New Roman" w:hAnsi="Times New Roman" w:cs="Times New Roman"/>
          <w:b/>
          <w:bCs/>
          <w:color w:val="000000" w:themeColor="text1"/>
          <w:sz w:val="24"/>
          <w:szCs w:val="24"/>
        </w:rPr>
        <w:t>S</w:t>
      </w:r>
      <w:r w:rsidRPr="00AD4923">
        <w:rPr>
          <w:rFonts w:ascii="Times New Roman" w:hAnsi="Times New Roman" w:cs="Times New Roman"/>
          <w:b/>
          <w:bCs/>
          <w:color w:val="000000" w:themeColor="text1"/>
          <w:sz w:val="24"/>
          <w:szCs w:val="24"/>
        </w:rPr>
        <w:t>tatute</w:t>
      </w:r>
    </w:p>
    <w:p w14:paraId="5083BE0C" w14:textId="77777777" w:rsidR="002750B9" w:rsidRDefault="00447074" w:rsidP="002750B9">
      <w:pPr>
        <w:jc w:val="both"/>
      </w:pPr>
      <w:bookmarkStart w:id="0" w:name="_Hlk216268394"/>
      <w:r w:rsidRPr="00AD4923">
        <w:rPr>
          <w:color w:val="000000" w:themeColor="text1"/>
        </w:rPr>
        <w:t xml:space="preserve">The agency’s reliance on </w:t>
      </w:r>
      <w:r w:rsidRPr="00AD4923">
        <w:t>8 U.S.C. § 1373(a)</w:t>
      </w:r>
      <w:r w:rsidRPr="00AD4923">
        <w:rPr>
          <w:rStyle w:val="FootnoteReference"/>
        </w:rPr>
        <w:footnoteReference w:id="32"/>
      </w:r>
      <w:r w:rsidRPr="00AD4923">
        <w:t xml:space="preserve"> </w:t>
      </w:r>
      <w:r w:rsidRPr="00AD4923">
        <w:t xml:space="preserve">is improper as it </w:t>
      </w:r>
      <w:r w:rsidRPr="00AD4923">
        <w:t xml:space="preserve">does not justify SSA’s decision to share </w:t>
      </w:r>
      <w:proofErr w:type="spellStart"/>
      <w:r w:rsidRPr="00AD4923">
        <w:t>Numident</w:t>
      </w:r>
      <w:proofErr w:type="spellEnd"/>
      <w:r w:rsidRPr="00AD4923">
        <w:t xml:space="preserve"> Files data with DHS. This statutory section </w:t>
      </w:r>
      <w:r w:rsidR="00AD4923">
        <w:t>in question</w:t>
      </w:r>
      <w:r w:rsidRPr="00AD4923">
        <w:t xml:space="preserve"> instructs that an “entity or official may not prohibit, or in any way restrict” certain information sharing, 8 U.S.C. § 1373(a), and that “no person or agency may prohibit, or any way restrict,” certain information sharing. </w:t>
      </w:r>
      <w:r w:rsidRPr="00AD4923">
        <w:rPr>
          <w:i/>
        </w:rPr>
        <w:t>Id.</w:t>
      </w:r>
      <w:r w:rsidRPr="00AD4923">
        <w:t xml:space="preserve">, § 1373(b). The prohibitory language in 8 U.S.C. § 1373(a) does not confer any affirmative authority on SSA. This approach is consistent with how the Department of Justice has long construed § 1373. </w:t>
      </w:r>
    </w:p>
    <w:p w14:paraId="59A407FB" w14:textId="77777777" w:rsidR="002750B9" w:rsidRDefault="002750B9" w:rsidP="002750B9">
      <w:pPr>
        <w:jc w:val="both"/>
      </w:pPr>
    </w:p>
    <w:p w14:paraId="042929D3" w14:textId="691EB21E" w:rsidR="00447074" w:rsidRPr="00AD4923" w:rsidRDefault="00447074" w:rsidP="002750B9">
      <w:pPr>
        <w:jc w:val="both"/>
      </w:pPr>
      <w:r w:rsidRPr="00AD4923">
        <w:lastRenderedPageBreak/>
        <w:t xml:space="preserve">In 1999, Acting Assistant Attorney General Randolph D. Moss considered the sharing of confidential census data and concluded that § 1373 does “not clearly invest governmental officials or entities with the affirmative authority to disclose information in circumstances where they otherwise would be prohibited from doing so by a federal statute.” </w:t>
      </w:r>
      <w:r w:rsidRPr="00AD4923">
        <w:rPr>
          <w:rStyle w:val="FootnoteReference"/>
        </w:rPr>
        <w:footnoteReference w:id="33"/>
      </w:r>
      <w:r w:rsidRPr="00AD4923">
        <w:t xml:space="preserve"> </w:t>
      </w:r>
    </w:p>
    <w:p w14:paraId="3A363987" w14:textId="77777777" w:rsidR="00447074" w:rsidRPr="00AD4923" w:rsidRDefault="00447074" w:rsidP="002750B9">
      <w:pPr>
        <w:jc w:val="both"/>
      </w:pPr>
    </w:p>
    <w:p w14:paraId="4D49BA85" w14:textId="419D4D0E" w:rsidR="00447074" w:rsidRPr="00AD4923" w:rsidRDefault="00447074" w:rsidP="002750B9">
      <w:pPr>
        <w:jc w:val="both"/>
      </w:pPr>
      <w:r w:rsidRPr="00AD4923">
        <w:t xml:space="preserve">The only affirmative obligation in § 1373 is set forth in subpart (c) which requires DHS to respond to inquiries from Federal, State, and local government agencies to “verify or ascertain [citizenship or immigration status].” While DHS must respond to inquiries, the statutory language does not affirmatively require SSA to do </w:t>
      </w:r>
      <w:r w:rsidR="00AD4923" w:rsidRPr="00AD4923">
        <w:t>so</w:t>
      </w:r>
      <w:r w:rsidRPr="00AD4923">
        <w:t xml:space="preserve">. </w:t>
      </w:r>
      <w:r w:rsidR="00AD4923" w:rsidRPr="00AD4923">
        <w:t>The</w:t>
      </w:r>
      <w:r w:rsidRPr="00AD4923">
        <w:t xml:space="preserve"> issue here is the pooling of SSA</w:t>
      </w:r>
      <w:r w:rsidR="00AD4923" w:rsidRPr="00AD4923">
        <w:t>’s</w:t>
      </w:r>
      <w:r w:rsidRPr="00AD4923">
        <w:t xml:space="preserve"> incomplete and unreliable</w:t>
      </w:r>
      <w:r w:rsidR="00AD4923" w:rsidRPr="00AD4923">
        <w:t xml:space="preserve"> data </w:t>
      </w:r>
      <w:r w:rsidRPr="00AD4923">
        <w:t xml:space="preserve">into DHS’s SAVE system. That is </w:t>
      </w:r>
      <w:r w:rsidR="00AD4923" w:rsidRPr="00AD4923">
        <w:t xml:space="preserve">simply </w:t>
      </w:r>
      <w:r w:rsidRPr="00AD4923">
        <w:t xml:space="preserve">not authorized by 8 U.S.C. § 1373. </w:t>
      </w:r>
    </w:p>
    <w:p w14:paraId="20856F4A" w14:textId="77777777" w:rsidR="00447074" w:rsidRPr="00AD4923" w:rsidRDefault="00447074" w:rsidP="002750B9">
      <w:pPr>
        <w:jc w:val="both"/>
      </w:pPr>
    </w:p>
    <w:p w14:paraId="3A0B1DBC" w14:textId="64020616" w:rsidR="00447074" w:rsidRPr="00AD4923" w:rsidRDefault="00AD4923" w:rsidP="002750B9">
      <w:pPr>
        <w:jc w:val="both"/>
      </w:pPr>
      <w:r w:rsidRPr="00AD4923">
        <w:t>Nothing</w:t>
      </w:r>
      <w:r w:rsidR="00447074" w:rsidRPr="00AD4923">
        <w:t xml:space="preserve"> in 8 U.S.C. § 1373 explicitly repeals the Privacy Act. SSA is required to harmonize any duties imposed by § 1373 with its duties under the Privacy Act. Indeed, Congress has amended the Privacy Act several times—in 1988, 1997, 1999, 2010, and 2014—to create carveouts for specified computerized matches of records across federal agencies.</w:t>
      </w:r>
      <w:r w:rsidR="00447074" w:rsidRPr="00AD4923">
        <w:rPr>
          <w:rStyle w:val="FootnoteReference"/>
        </w:rPr>
        <w:footnoteReference w:id="34"/>
      </w:r>
      <w:r w:rsidR="00447074" w:rsidRPr="00AD4923">
        <w:t xml:space="preserve"> These carveouts show that when Congress wants to create exceptions to the Privacy Act, it is able to do so. Congress has not acted to allow SSN Master File data to be shared with DHS; that absence is telling and suggests that SSA’s action does not comport with the Privacy Act. </w:t>
      </w:r>
      <w:r w:rsidRPr="00AD4923">
        <w:t>Perhaps most notably</w:t>
      </w:r>
      <w:r w:rsidR="00447074" w:rsidRPr="00AD4923">
        <w:t xml:space="preserve">, SSA’s action in issuing a SORN here suggests that it is indeed bound by the Privacy Act. </w:t>
      </w:r>
    </w:p>
    <w:bookmarkEnd w:id="0"/>
    <w:p w14:paraId="70AEFCE7" w14:textId="77777777" w:rsidR="00447074" w:rsidRPr="00AD4923" w:rsidRDefault="00447074" w:rsidP="002750B9">
      <w:pPr>
        <w:jc w:val="both"/>
        <w:rPr>
          <w:color w:val="000000" w:themeColor="text1"/>
        </w:rPr>
      </w:pPr>
    </w:p>
    <w:p w14:paraId="57A1C514" w14:textId="67EBCA94" w:rsidR="00AD4923" w:rsidRPr="00AD4923" w:rsidRDefault="00AD4923" w:rsidP="002750B9">
      <w:pPr>
        <w:jc w:val="both"/>
        <w:rPr>
          <w:b/>
          <w:bCs/>
          <w:color w:val="000000" w:themeColor="text1"/>
          <w:u w:val="single"/>
        </w:rPr>
      </w:pPr>
      <w:r w:rsidRPr="00AD4923">
        <w:rPr>
          <w:b/>
          <w:bCs/>
          <w:color w:val="000000" w:themeColor="text1"/>
          <w:u w:val="single"/>
        </w:rPr>
        <w:t>Conclusion</w:t>
      </w:r>
    </w:p>
    <w:p w14:paraId="0DE5DD11" w14:textId="7664CD17" w:rsidR="00AD4923" w:rsidRPr="00AD4923" w:rsidRDefault="00AD4923" w:rsidP="002750B9">
      <w:pPr>
        <w:jc w:val="both"/>
        <w:rPr>
          <w:color w:val="000000" w:themeColor="text1"/>
        </w:rPr>
      </w:pPr>
    </w:p>
    <w:p w14:paraId="1A724EFB" w14:textId="7ED11201" w:rsidR="00AD4923" w:rsidRPr="00AD4923" w:rsidRDefault="00AD4923" w:rsidP="002750B9">
      <w:pPr>
        <w:jc w:val="both"/>
        <w:rPr>
          <w:color w:val="000000" w:themeColor="text1"/>
        </w:rPr>
      </w:pPr>
      <w:r w:rsidRPr="00AD4923">
        <w:rPr>
          <w:color w:val="000000" w:themeColor="text1"/>
        </w:rPr>
        <w:t>Thank you again for the opportunity to comment on the proposed changes. For the reasons stated herein, w</w:t>
      </w:r>
      <w:r w:rsidRPr="00AD4923">
        <w:rPr>
          <w:color w:val="000000" w:themeColor="text1"/>
        </w:rPr>
        <w:t xml:space="preserve">e request that SSA withdraw this SORN and rescind its Letter Agreement that </w:t>
      </w:r>
      <w:r w:rsidRPr="00AD4923">
        <w:rPr>
          <w:color w:val="000000" w:themeColor="text1"/>
        </w:rPr>
        <w:t xml:space="preserve">improperly </w:t>
      </w:r>
      <w:r w:rsidRPr="00AD4923">
        <w:rPr>
          <w:color w:val="000000" w:themeColor="text1"/>
        </w:rPr>
        <w:t xml:space="preserve">gives </w:t>
      </w:r>
      <w:r w:rsidRPr="00AD4923">
        <w:rPr>
          <w:color w:val="000000" w:themeColor="text1"/>
        </w:rPr>
        <w:t>DHS</w:t>
      </w:r>
      <w:r w:rsidRPr="00AD4923">
        <w:rPr>
          <w:color w:val="000000" w:themeColor="text1"/>
        </w:rPr>
        <w:t xml:space="preserve"> access to SSA’s Master </w:t>
      </w:r>
      <w:proofErr w:type="spellStart"/>
      <w:r w:rsidRPr="00AD4923">
        <w:rPr>
          <w:color w:val="000000" w:themeColor="text1"/>
        </w:rPr>
        <w:t>Numident</w:t>
      </w:r>
      <w:proofErr w:type="spellEnd"/>
      <w:r w:rsidRPr="00AD4923">
        <w:rPr>
          <w:color w:val="000000" w:themeColor="text1"/>
        </w:rPr>
        <w:t xml:space="preserve"> Files.</w:t>
      </w:r>
    </w:p>
    <w:p w14:paraId="259DFD02" w14:textId="77777777" w:rsidR="00B834F8" w:rsidRPr="00AD4923" w:rsidRDefault="00B834F8" w:rsidP="002750B9">
      <w:pPr>
        <w:jc w:val="both"/>
      </w:pPr>
    </w:p>
    <w:p w14:paraId="39000573" w14:textId="77777777" w:rsidR="00B834F8" w:rsidRPr="00AD4923" w:rsidRDefault="00B834F8" w:rsidP="002750B9">
      <w:pPr>
        <w:jc w:val="both"/>
      </w:pPr>
    </w:p>
    <w:p w14:paraId="50DDF0CE" w14:textId="77777777" w:rsidR="00B834F8" w:rsidRPr="00AD4923" w:rsidRDefault="00000000" w:rsidP="002750B9">
      <w:pPr>
        <w:jc w:val="both"/>
      </w:pPr>
      <w:r w:rsidRPr="00AD4923">
        <w:t>Respectfully,</w:t>
      </w:r>
    </w:p>
    <w:p w14:paraId="6D6BFB7B" w14:textId="77777777" w:rsidR="00B834F8" w:rsidRPr="00AD4923" w:rsidRDefault="00B834F8" w:rsidP="002750B9">
      <w:pPr>
        <w:jc w:val="both"/>
      </w:pPr>
    </w:p>
    <w:p w14:paraId="629B860F" w14:textId="77777777" w:rsidR="00B834F8" w:rsidRPr="00AD4923" w:rsidRDefault="00000000" w:rsidP="002750B9">
      <w:pPr>
        <w:jc w:val="both"/>
        <w:rPr>
          <w:b/>
          <w:bCs/>
        </w:rPr>
      </w:pPr>
      <w:r w:rsidRPr="00AD4923">
        <w:rPr>
          <w:b/>
          <w:bCs/>
        </w:rPr>
        <w:t xml:space="preserve">Consortium for Constituents with Disabilities, Social Security Task Force Co-Chairs: </w:t>
      </w:r>
    </w:p>
    <w:p w14:paraId="0372C857" w14:textId="77777777" w:rsidR="00B834F8" w:rsidRPr="00AD4923" w:rsidRDefault="00000000" w:rsidP="002750B9">
      <w:pPr>
        <w:jc w:val="both"/>
      </w:pPr>
      <w:r w:rsidRPr="00AD4923">
        <w:t xml:space="preserve">Jen Burdick, Community Legal Services of Philadelphia </w:t>
      </w:r>
    </w:p>
    <w:p w14:paraId="657C71BE" w14:textId="77777777" w:rsidR="00B834F8" w:rsidRPr="00AD4923" w:rsidRDefault="00000000" w:rsidP="002750B9">
      <w:pPr>
        <w:jc w:val="both"/>
      </w:pPr>
      <w:r w:rsidRPr="00AD4923">
        <w:t xml:space="preserve">Jennifer Cronenberg, National Organization of Social Security Claimants’ Representatives </w:t>
      </w:r>
    </w:p>
    <w:p w14:paraId="72247271" w14:textId="77777777" w:rsidR="00B834F8" w:rsidRPr="00AD4923" w:rsidRDefault="00000000" w:rsidP="002750B9">
      <w:pPr>
        <w:jc w:val="both"/>
      </w:pPr>
      <w:r w:rsidRPr="00AD4923">
        <w:t>Tracey Gronniger, Justice in Aging</w:t>
      </w:r>
    </w:p>
    <w:p w14:paraId="7B4752E2" w14:textId="77777777" w:rsidR="00B834F8" w:rsidRPr="00AD4923" w:rsidRDefault="00000000" w:rsidP="002750B9">
      <w:pPr>
        <w:jc w:val="both"/>
      </w:pPr>
      <w:r w:rsidRPr="00AD4923">
        <w:t>Darcy Milburn, The Arc</w:t>
      </w:r>
    </w:p>
    <w:sectPr w:rsidR="00B834F8" w:rsidRPr="00AD4923">
      <w:footerReference w:type="even" r:id="rId16"/>
      <w:footerReference w:type="default" r:id="rId17"/>
      <w:headerReference w:type="first" r:id="rId18"/>
      <w:footerReference w:type="first" r:id="rId19"/>
      <w:pgSz w:w="12240" w:h="15840"/>
      <w:pgMar w:top="1440" w:right="1440" w:bottom="1008"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708AB4" w14:textId="77777777" w:rsidR="00803C41" w:rsidRDefault="00803C41">
      <w:r>
        <w:separator/>
      </w:r>
    </w:p>
  </w:endnote>
  <w:endnote w:type="continuationSeparator" w:id="0">
    <w:p w14:paraId="7335829E" w14:textId="77777777" w:rsidR="00803C41" w:rsidRDefault="00803C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Bad Script">
    <w:charset w:val="00"/>
    <w:family w:val="auto"/>
    <w:pitch w:val="default"/>
    <w:embedRegular r:id="rId1" w:fontKey="{E10FF999-93CB-4701-A812-B2AFC8471A5A}"/>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3F29A2C9-0F73-474C-96A0-538A4A0B672D}"/>
  </w:font>
  <w:font w:name="Calibri">
    <w:panose1 w:val="020F0502020204030204"/>
    <w:charset w:val="00"/>
    <w:family w:val="swiss"/>
    <w:pitch w:val="variable"/>
    <w:sig w:usb0="E4002EFF" w:usb1="C200247B" w:usb2="00000009" w:usb3="00000000" w:csb0="000001FF" w:csb1="00000000"/>
    <w:embedRegular r:id="rId3" w:fontKey="{EF7AB056-BB52-472F-B833-921639B6CC8F}"/>
    <w:embedBold r:id="rId4" w:fontKey="{554D0CD7-34F0-4374-9031-DD2B3870970C}"/>
  </w:font>
  <w:font w:name="Georgia">
    <w:panose1 w:val="02040502050405020303"/>
    <w:charset w:val="00"/>
    <w:family w:val="roman"/>
    <w:pitch w:val="variable"/>
    <w:sig w:usb0="00000287" w:usb1="00000000" w:usb2="00000000" w:usb3="00000000" w:csb0="0000009F" w:csb1="00000000"/>
    <w:embedItalic r:id="rId5" w:fontKey="{7ADC90ED-0C80-4946-81F7-7021B53B98D4}"/>
  </w:font>
  <w:font w:name="Book Antiqua">
    <w:panose1 w:val="02040602050305030304"/>
    <w:charset w:val="00"/>
    <w:family w:val="roman"/>
    <w:pitch w:val="variable"/>
    <w:sig w:usb0="00000287" w:usb1="00000000" w:usb2="00000000" w:usb3="00000000" w:csb0="0000009F" w:csb1="00000000"/>
    <w:embedRegular r:id="rId6" w:fontKey="{078A6486-10A7-4EA0-92A6-FA391CDE10D7}"/>
    <w:embedBold r:id="rId7" w:fontKey="{F1B83B5A-71C2-4BE9-A6B8-F05B94A765D2}"/>
    <w:embedItalic r:id="rId8" w:fontKey="{1C0ADD77-BB99-4969-911C-E4DE1FD88744}"/>
    <w:embedBoldItalic r:id="rId9" w:fontKey="{A81BACC6-AF9B-43E1-B75D-1E0AB4077E24}"/>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0" w:fontKey="{62771ACE-C1B1-4253-B1AF-2AE54E67ADC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6A110" w14:textId="77777777" w:rsidR="00B834F8" w:rsidRDefault="00000000">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6C2DC0C5" w14:textId="77777777" w:rsidR="00B834F8" w:rsidRDefault="00B834F8">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EB70F" w14:textId="77777777" w:rsidR="00B834F8" w:rsidRDefault="00000000">
    <w:pPr>
      <w:pBdr>
        <w:top w:val="nil"/>
        <w:left w:val="nil"/>
        <w:bottom w:val="nil"/>
        <w:right w:val="nil"/>
        <w:between w:val="nil"/>
      </w:pBdr>
      <w:tabs>
        <w:tab w:val="center" w:pos="4320"/>
        <w:tab w:val="right" w:pos="8640"/>
      </w:tabs>
      <w:jc w:val="right"/>
      <w:rPr>
        <w:rFonts w:ascii="Arial" w:eastAsia="Arial" w:hAnsi="Arial" w:cs="Arial"/>
        <w:color w:val="000000"/>
        <w:sz w:val="20"/>
        <w:szCs w:val="20"/>
      </w:rPr>
    </w:pP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247F1A">
      <w:rPr>
        <w:rFonts w:ascii="Arial" w:eastAsia="Arial" w:hAnsi="Arial" w:cs="Arial"/>
        <w:noProof/>
        <w:color w:val="000000"/>
        <w:sz w:val="20"/>
        <w:szCs w:val="20"/>
      </w:rPr>
      <w:t>2</w:t>
    </w:r>
    <w:r>
      <w:rPr>
        <w:rFonts w:ascii="Arial" w:eastAsia="Arial" w:hAnsi="Arial" w:cs="Arial"/>
        <w:color w:val="000000"/>
        <w:sz w:val="20"/>
        <w:szCs w:val="20"/>
      </w:rPr>
      <w:fldChar w:fldCharType="end"/>
    </w:r>
  </w:p>
  <w:p w14:paraId="35817DE3" w14:textId="77777777" w:rsidR="00B834F8" w:rsidRDefault="00B834F8">
    <w:pPr>
      <w:pBdr>
        <w:top w:val="nil"/>
        <w:left w:val="nil"/>
        <w:bottom w:val="nil"/>
        <w:right w:val="nil"/>
        <w:between w:val="nil"/>
      </w:pBdr>
      <w:tabs>
        <w:tab w:val="center" w:pos="4320"/>
        <w:tab w:val="right" w:pos="8640"/>
        <w:tab w:val="right" w:pos="9000"/>
        <w:tab w:val="right" w:pos="9180"/>
      </w:tabs>
      <w:ind w:left="-360" w:right="360" w:hanging="180"/>
      <w:jc w:val="cente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C99C8" w14:textId="77777777" w:rsidR="00B834F8" w:rsidRDefault="00000000">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sidR="00247F1A">
      <w:rPr>
        <w:noProof/>
        <w:color w:val="000000"/>
      </w:rPr>
      <w:t>1</w:t>
    </w:r>
    <w:r>
      <w:rPr>
        <w:color w:val="000000"/>
      </w:rPr>
      <w:fldChar w:fldCharType="end"/>
    </w:r>
  </w:p>
  <w:p w14:paraId="1414707D" w14:textId="77777777" w:rsidR="00B834F8" w:rsidRDefault="00B834F8">
    <w:pPr>
      <w:pBdr>
        <w:top w:val="nil"/>
        <w:left w:val="nil"/>
        <w:bottom w:val="nil"/>
        <w:right w:val="nil"/>
        <w:between w:val="nil"/>
      </w:pBdr>
      <w:tabs>
        <w:tab w:val="center" w:pos="4320"/>
        <w:tab w:val="right" w:pos="8640"/>
        <w:tab w:val="right" w:pos="9540"/>
      </w:tabs>
      <w:ind w:left="-360"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0AE976" w14:textId="77777777" w:rsidR="00803C41" w:rsidRDefault="00803C41">
      <w:r>
        <w:separator/>
      </w:r>
    </w:p>
  </w:footnote>
  <w:footnote w:type="continuationSeparator" w:id="0">
    <w:p w14:paraId="7344B316" w14:textId="77777777" w:rsidR="00803C41" w:rsidRDefault="00803C41">
      <w:r>
        <w:continuationSeparator/>
      </w:r>
    </w:p>
  </w:footnote>
  <w:footnote w:id="1">
    <w:p w14:paraId="0CF78C8B" w14:textId="77777777" w:rsidR="00247F1A" w:rsidRPr="00AD4923" w:rsidRDefault="00247F1A" w:rsidP="00247F1A">
      <w:pPr>
        <w:pStyle w:val="FootnoteText"/>
      </w:pPr>
      <w:r w:rsidRPr="00AD4923">
        <w:rPr>
          <w:rStyle w:val="FootnoteReference"/>
        </w:rPr>
        <w:footnoteRef/>
      </w:r>
      <w:r w:rsidRPr="00AD4923">
        <w:t xml:space="preserve"> </w:t>
      </w:r>
      <w:r w:rsidRPr="00AD4923">
        <w:rPr>
          <w:i/>
          <w:iCs/>
        </w:rPr>
        <w:t>See</w:t>
      </w:r>
      <w:r w:rsidRPr="00AD4923">
        <w:t xml:space="preserve"> Letter Agreement Providing for Information Sharing Between the Department of Homeland Security (DHS), U.S. Citizenship and Immigration Services (USCIS) and the Social Security Administration (SSA) Regarding Citizenship (Letter Agreement).</w:t>
      </w:r>
    </w:p>
  </w:footnote>
  <w:footnote w:id="2">
    <w:p w14:paraId="0FD7554A" w14:textId="77777777" w:rsidR="00247F1A" w:rsidRPr="00AD4923" w:rsidRDefault="00247F1A" w:rsidP="00247F1A">
      <w:pPr>
        <w:pStyle w:val="FootnoteText"/>
      </w:pPr>
      <w:r w:rsidRPr="00AD4923">
        <w:rPr>
          <w:rStyle w:val="FootnoteReference"/>
        </w:rPr>
        <w:footnoteRef/>
      </w:r>
      <w:r w:rsidRPr="00AD4923">
        <w:t xml:space="preserve"> </w:t>
      </w:r>
      <w:r w:rsidRPr="00AD4923">
        <w:rPr>
          <w:i/>
        </w:rPr>
        <w:t>See</w:t>
      </w:r>
      <w:r w:rsidRPr="00AD4923">
        <w:t xml:space="preserve"> Department of Homeland Security, </w:t>
      </w:r>
      <w:hyperlink r:id="rId1" w:history="1">
        <w:r w:rsidRPr="00AD4923">
          <w:rPr>
            <w:rStyle w:val="Hyperlink"/>
          </w:rPr>
          <w:t>Privacy Act of 1974; System of Records</w:t>
        </w:r>
      </w:hyperlink>
      <w:r w:rsidRPr="00AD4923">
        <w:t xml:space="preserve">, 90 FR 48948, 48952 (Oct. 31, 2025). </w:t>
      </w:r>
    </w:p>
  </w:footnote>
  <w:footnote w:id="3">
    <w:p w14:paraId="52EFB27A" w14:textId="7EA3B33B" w:rsidR="00247F1A" w:rsidRPr="00AD4923" w:rsidRDefault="00247F1A" w:rsidP="00247F1A">
      <w:pPr>
        <w:pStyle w:val="FootnoteText"/>
      </w:pPr>
      <w:r w:rsidRPr="00AD4923">
        <w:rPr>
          <w:rStyle w:val="FootnoteReference"/>
        </w:rPr>
        <w:footnoteRef/>
      </w:r>
      <w:r w:rsidRPr="00AD4923">
        <w:t xml:space="preserve"> </w:t>
      </w:r>
      <w:r w:rsidRPr="00AD4923">
        <w:rPr>
          <w:i/>
          <w:iCs/>
        </w:rPr>
        <w:t>See</w:t>
      </w:r>
      <w:r w:rsidRPr="00AD4923">
        <w:t xml:space="preserve"> pending litigation,</w:t>
      </w:r>
      <w:r w:rsidRPr="00AD4923">
        <w:t xml:space="preserve"> </w:t>
      </w:r>
      <w:hyperlink r:id="rId2" w:history="1">
        <w:r w:rsidRPr="00AD4923">
          <w:rPr>
            <w:rStyle w:val="Hyperlink"/>
            <w:i/>
          </w:rPr>
          <w:t>Bower v. SSA</w:t>
        </w:r>
      </w:hyperlink>
      <w:r w:rsidRPr="00AD4923">
        <w:t xml:space="preserve">, No. 25-cv-2713 (D.C.D.C.) and </w:t>
      </w:r>
      <w:hyperlink r:id="rId3" w:history="1">
        <w:r w:rsidRPr="00AD4923">
          <w:rPr>
            <w:rStyle w:val="Hyperlink"/>
            <w:i/>
          </w:rPr>
          <w:t>League of Women Voters v. U.S. Dept. of Homeland Security</w:t>
        </w:r>
      </w:hyperlink>
      <w:r w:rsidRPr="00AD4923">
        <w:rPr>
          <w:color w:val="242424"/>
        </w:rPr>
        <w:t>, No. 25-3501 (D.C.D.C.).</w:t>
      </w:r>
    </w:p>
  </w:footnote>
  <w:footnote w:id="4">
    <w:p w14:paraId="15B7106F" w14:textId="77777777" w:rsidR="00E95FFE" w:rsidRPr="00AD4923" w:rsidRDefault="00E95FFE" w:rsidP="00E95FFE">
      <w:pPr>
        <w:pStyle w:val="FootnoteText"/>
      </w:pPr>
      <w:r w:rsidRPr="00AD4923">
        <w:rPr>
          <w:rStyle w:val="FootnoteReference"/>
        </w:rPr>
        <w:footnoteRef/>
      </w:r>
      <w:r w:rsidRPr="00AD4923">
        <w:t xml:space="preserve"> </w:t>
      </w:r>
      <w:r w:rsidRPr="00AD4923">
        <w:rPr>
          <w:rFonts w:eastAsia="Book Antiqua"/>
          <w:i/>
        </w:rPr>
        <w:t xml:space="preserve">See </w:t>
      </w:r>
      <w:r w:rsidRPr="00AD4923">
        <w:rPr>
          <w:rFonts w:eastAsia="Book Antiqua"/>
        </w:rPr>
        <w:t xml:space="preserve">SSA Office of General Counsel, </w:t>
      </w:r>
      <w:hyperlink r:id="rId4" w:history="1">
        <w:r w:rsidRPr="00AD4923">
          <w:rPr>
            <w:rStyle w:val="Hyperlink"/>
            <w:rFonts w:eastAsia="Book Antiqua"/>
          </w:rPr>
          <w:t>Letter to Jon Sherman, Fair Elections Center</w:t>
        </w:r>
      </w:hyperlink>
      <w:r w:rsidRPr="00AD4923">
        <w:rPr>
          <w:rFonts w:eastAsia="Book Antiqua"/>
        </w:rPr>
        <w:t xml:space="preserve">, </w:t>
      </w:r>
    </w:p>
    <w:p w14:paraId="2AFE328A" w14:textId="77777777" w:rsidR="00E95FFE" w:rsidRPr="00AD4923" w:rsidRDefault="00E95FFE" w:rsidP="00E95FFE">
      <w:pPr>
        <w:pStyle w:val="FootnoteText"/>
      </w:pPr>
      <w:r w:rsidRPr="00AD4923">
        <w:rPr>
          <w:rFonts w:eastAsia="Book Antiqua"/>
        </w:rPr>
        <w:t xml:space="preserve">“Application for Records and Testimony of a Social Security Administration (SSA) Employee in a Federal Civil Case, </w:t>
      </w:r>
      <w:r w:rsidRPr="00AD4923">
        <w:rPr>
          <w:rFonts w:eastAsia="Book Antiqua"/>
          <w:i/>
        </w:rPr>
        <w:t>Mi Familia Vota et al. v. Adrian Fontes, in his official capacity as Arizona Secretary of State, et al</w:t>
      </w:r>
      <w:r w:rsidRPr="00AD4923">
        <w:rPr>
          <w:rFonts w:eastAsia="Book Antiqua"/>
        </w:rPr>
        <w:t>., 22-cv-509 et al,” July 13, 2023 (SSA General Counsel Letter).</w:t>
      </w:r>
    </w:p>
  </w:footnote>
  <w:footnote w:id="5">
    <w:p w14:paraId="74E5A528" w14:textId="77777777" w:rsidR="00E95FFE" w:rsidRPr="00AD4923" w:rsidRDefault="00E95FFE" w:rsidP="00E95FFE">
      <w:pPr>
        <w:pStyle w:val="FootnoteText"/>
      </w:pPr>
      <w:r w:rsidRPr="00AD4923">
        <w:rPr>
          <w:rStyle w:val="FootnoteReference"/>
        </w:rPr>
        <w:footnoteRef/>
      </w:r>
      <w:r w:rsidRPr="00AD4923">
        <w:t xml:space="preserve"> </w:t>
      </w:r>
      <w:r w:rsidRPr="00AD4923">
        <w:rPr>
          <w:i/>
        </w:rPr>
        <w:t>Id.</w:t>
      </w:r>
    </w:p>
  </w:footnote>
  <w:footnote w:id="6">
    <w:p w14:paraId="28FDE53F" w14:textId="77777777" w:rsidR="00E95FFE" w:rsidRPr="00AD4923" w:rsidRDefault="00E95FFE" w:rsidP="00E95FFE">
      <w:pPr>
        <w:pStyle w:val="FootnoteText"/>
      </w:pPr>
      <w:r w:rsidRPr="00AD4923">
        <w:rPr>
          <w:rStyle w:val="FootnoteReference"/>
        </w:rPr>
        <w:footnoteRef/>
      </w:r>
      <w:r w:rsidRPr="00AD4923">
        <w:t xml:space="preserve"> </w:t>
      </w:r>
      <w:r w:rsidRPr="00AD4923">
        <w:rPr>
          <w:i/>
        </w:rPr>
        <w:t>See</w:t>
      </w:r>
      <w:r w:rsidRPr="00AD4923">
        <w:t xml:space="preserve"> </w:t>
      </w:r>
      <w:hyperlink r:id="rId5" w:history="1">
        <w:r w:rsidRPr="00AD4923">
          <w:rPr>
            <w:rStyle w:val="Hyperlink"/>
          </w:rPr>
          <w:t>POMS RM 10205.700</w:t>
        </w:r>
      </w:hyperlink>
      <w:r w:rsidRPr="00AD4923">
        <w:t xml:space="preserve"> (02-25). </w:t>
      </w:r>
    </w:p>
  </w:footnote>
  <w:footnote w:id="7">
    <w:p w14:paraId="2F506327" w14:textId="77777777" w:rsidR="00E95FFE" w:rsidRPr="00AD4923" w:rsidRDefault="00E95FFE" w:rsidP="00E95FFE">
      <w:pPr>
        <w:pStyle w:val="FootnoteText"/>
      </w:pPr>
      <w:r w:rsidRPr="00AD4923">
        <w:rPr>
          <w:rStyle w:val="FootnoteReference"/>
        </w:rPr>
        <w:footnoteRef/>
      </w:r>
      <w:r w:rsidRPr="00AD4923">
        <w:t xml:space="preserve"> </w:t>
      </w:r>
      <w:r w:rsidRPr="00AD4923">
        <w:rPr>
          <w:i/>
        </w:rPr>
        <w:t>See</w:t>
      </w:r>
      <w:r w:rsidRPr="00AD4923">
        <w:t xml:space="preserve"> Popular Information, </w:t>
      </w:r>
      <w:hyperlink r:id="rId6" w:history="1">
        <w:r w:rsidRPr="00AD4923">
          <w:rPr>
            <w:rStyle w:val="Hyperlink"/>
          </w:rPr>
          <w:t>UPDATE: Congressman demands Social Security reverse “potentially illegal” new policy,”</w:t>
        </w:r>
      </w:hyperlink>
      <w:r w:rsidRPr="00AD4923">
        <w:t xml:space="preserve"> April 17, 2025. </w:t>
      </w:r>
    </w:p>
  </w:footnote>
  <w:footnote w:id="8">
    <w:p w14:paraId="39F88AA9" w14:textId="77777777" w:rsidR="00E95FFE" w:rsidRPr="00AD4923" w:rsidRDefault="00E95FFE" w:rsidP="00E95FFE">
      <w:pPr>
        <w:pStyle w:val="FootnoteText"/>
      </w:pPr>
      <w:r w:rsidRPr="00AD4923">
        <w:rPr>
          <w:rStyle w:val="FootnoteReference"/>
        </w:rPr>
        <w:footnoteRef/>
      </w:r>
      <w:r w:rsidRPr="00AD4923">
        <w:rPr>
          <w:rFonts w:eastAsia="Book Antiqua"/>
        </w:rPr>
        <w:t xml:space="preserve"> </w:t>
      </w:r>
      <w:r w:rsidRPr="00AD4923">
        <w:rPr>
          <w:rFonts w:eastAsia="Book Antiqua"/>
          <w:i/>
        </w:rPr>
        <w:t xml:space="preserve">See </w:t>
      </w:r>
      <w:r w:rsidRPr="00AD4923">
        <w:rPr>
          <w:rFonts w:eastAsia="Book Antiqua"/>
        </w:rPr>
        <w:t xml:space="preserve">SSA General Counsel Letter, </w:t>
      </w:r>
      <w:r w:rsidRPr="00AD4923">
        <w:rPr>
          <w:rFonts w:eastAsia="Book Antiqua"/>
          <w:i/>
        </w:rPr>
        <w:t>supra</w:t>
      </w:r>
      <w:r w:rsidRPr="00AD4923">
        <w:rPr>
          <w:rFonts w:eastAsia="Book Antiqua"/>
        </w:rPr>
        <w:t xml:space="preserve"> at n. 6.</w:t>
      </w:r>
    </w:p>
  </w:footnote>
  <w:footnote w:id="9">
    <w:p w14:paraId="0EEC57C7" w14:textId="77777777" w:rsidR="00E95FFE" w:rsidRPr="00AD4923" w:rsidRDefault="00E95FFE" w:rsidP="00E95FFE">
      <w:pPr>
        <w:pStyle w:val="FootnoteText"/>
        <w:rPr>
          <w:i/>
        </w:rPr>
      </w:pPr>
      <w:r w:rsidRPr="00AD4923">
        <w:rPr>
          <w:rStyle w:val="FootnoteReference"/>
        </w:rPr>
        <w:footnoteRef/>
      </w:r>
      <w:r w:rsidRPr="00AD4923">
        <w:t xml:space="preserve"> </w:t>
      </w:r>
      <w:r w:rsidRPr="00AD4923">
        <w:rPr>
          <w:i/>
        </w:rPr>
        <w:t>Id.</w:t>
      </w:r>
    </w:p>
  </w:footnote>
  <w:footnote w:id="10">
    <w:p w14:paraId="1BF033BA" w14:textId="77777777" w:rsidR="00E95FFE" w:rsidRPr="00AD4923" w:rsidRDefault="00E95FFE" w:rsidP="00E95FFE">
      <w:pPr>
        <w:pStyle w:val="FootnoteText"/>
      </w:pPr>
      <w:r w:rsidRPr="00AD4923">
        <w:rPr>
          <w:rStyle w:val="FootnoteReference"/>
        </w:rPr>
        <w:footnoteRef/>
      </w:r>
      <w:r w:rsidRPr="00AD4923">
        <w:t xml:space="preserve"> </w:t>
      </w:r>
      <w:r w:rsidRPr="00AD4923">
        <w:rPr>
          <w:i/>
        </w:rPr>
        <w:t>See</w:t>
      </w:r>
      <w:r w:rsidRPr="00AD4923">
        <w:t xml:space="preserve"> Congressional Response Report, </w:t>
      </w:r>
      <w:hyperlink r:id="rId7" w:history="1">
        <w:r w:rsidRPr="00AD4923">
          <w:rPr>
            <w:rStyle w:val="Hyperlink"/>
          </w:rPr>
          <w:t xml:space="preserve">Accuracy of the Social Security Administration’s </w:t>
        </w:r>
        <w:proofErr w:type="spellStart"/>
        <w:r w:rsidRPr="00AD4923">
          <w:rPr>
            <w:rStyle w:val="Hyperlink"/>
          </w:rPr>
          <w:t>Numident</w:t>
        </w:r>
        <w:proofErr w:type="spellEnd"/>
        <w:r w:rsidRPr="00AD4923">
          <w:rPr>
            <w:rStyle w:val="Hyperlink"/>
          </w:rPr>
          <w:t xml:space="preserve"> File</w:t>
        </w:r>
      </w:hyperlink>
      <w:r w:rsidRPr="00AD4923">
        <w:t xml:space="preserve"> (A-08-06-26100), SSA Office of the Inspector General, December 2006. </w:t>
      </w:r>
    </w:p>
  </w:footnote>
  <w:footnote w:id="11">
    <w:p w14:paraId="68FD3684" w14:textId="77777777" w:rsidR="00E95FFE" w:rsidRPr="00AD4923" w:rsidRDefault="00E95FFE" w:rsidP="00E95FFE">
      <w:pPr>
        <w:pStyle w:val="FootnoteText"/>
      </w:pPr>
      <w:r w:rsidRPr="00AD4923">
        <w:rPr>
          <w:rStyle w:val="FootnoteReference"/>
        </w:rPr>
        <w:footnoteRef/>
      </w:r>
      <w:r w:rsidRPr="00AD4923">
        <w:t xml:space="preserve"> The impact is undoubtedly broader than described in the 2006 SSA Office of Inspector General audit. In the last decade, more than 7.9 million Americans have naturalized, including over 800,000 in fiscal year 2024. </w:t>
      </w:r>
      <w:proofErr w:type="gramStart"/>
      <w:r w:rsidRPr="00AD4923">
        <w:t>The vast majority of</w:t>
      </w:r>
      <w:proofErr w:type="gramEnd"/>
      <w:r w:rsidRPr="00AD4923">
        <w:t xml:space="preserve"> these individuals are not age-eligible for Social Security benefits and would not have an independent reason to update their citizenship status with SSA. U.S. Citizenship and Immigration Services, </w:t>
      </w:r>
      <w:hyperlink r:id="rId8" w:history="1">
        <w:r w:rsidRPr="00AD4923">
          <w:rPr>
            <w:rStyle w:val="Hyperlink"/>
            <w:i/>
            <w:iCs/>
          </w:rPr>
          <w:t>Naturalization Statistics</w:t>
        </w:r>
      </w:hyperlink>
      <w:r w:rsidRPr="00AD4923">
        <w:rPr>
          <w:i/>
          <w:iCs/>
        </w:rPr>
        <w:t xml:space="preserve"> </w:t>
      </w:r>
      <w:r w:rsidRPr="00AD4923">
        <w:t xml:space="preserve">(Jan. 24, 2025). </w:t>
      </w:r>
    </w:p>
  </w:footnote>
  <w:footnote w:id="12">
    <w:p w14:paraId="55215EE3" w14:textId="77777777" w:rsidR="00E95FFE" w:rsidRPr="00AD4923" w:rsidRDefault="00E95FFE" w:rsidP="00E95FFE">
      <w:pPr>
        <w:pStyle w:val="FootnoteText"/>
      </w:pPr>
      <w:r w:rsidRPr="00AD4923">
        <w:rPr>
          <w:rStyle w:val="FootnoteReference"/>
        </w:rPr>
        <w:footnoteRef/>
      </w:r>
      <w:r w:rsidRPr="00AD4923">
        <w:t xml:space="preserve"> </w:t>
      </w:r>
      <w:r w:rsidRPr="00AD4923">
        <w:rPr>
          <w:i/>
        </w:rPr>
        <w:t>See</w:t>
      </w:r>
      <w:r w:rsidRPr="00AD4923">
        <w:t xml:space="preserve"> SSA General Counsel Letter, </w:t>
      </w:r>
      <w:r w:rsidRPr="00AD4923">
        <w:rPr>
          <w:i/>
        </w:rPr>
        <w:t>supra</w:t>
      </w:r>
      <w:r w:rsidRPr="00AD4923">
        <w:t xml:space="preserve"> at n. 6. </w:t>
      </w:r>
    </w:p>
  </w:footnote>
  <w:footnote w:id="13">
    <w:p w14:paraId="7C420ABF" w14:textId="77777777" w:rsidR="00E95FFE" w:rsidRPr="00AD4923" w:rsidRDefault="00E95FFE" w:rsidP="00E95FFE">
      <w:pPr>
        <w:pStyle w:val="FootnoteText"/>
        <w:rPr>
          <w:i/>
        </w:rPr>
      </w:pPr>
      <w:r w:rsidRPr="00AD4923">
        <w:rPr>
          <w:rStyle w:val="FootnoteReference"/>
        </w:rPr>
        <w:footnoteRef/>
      </w:r>
      <w:r w:rsidRPr="00AD4923">
        <w:t xml:space="preserve"> </w:t>
      </w:r>
      <w:r w:rsidRPr="00AD4923">
        <w:rPr>
          <w:i/>
        </w:rPr>
        <w:t>Id.</w:t>
      </w:r>
    </w:p>
  </w:footnote>
  <w:footnote w:id="14">
    <w:p w14:paraId="0CA32AE4" w14:textId="77777777" w:rsidR="00E95FFE" w:rsidRPr="00AD4923" w:rsidRDefault="00E95FFE" w:rsidP="00E95FFE">
      <w:pPr>
        <w:pStyle w:val="FootnoteText"/>
      </w:pPr>
      <w:r w:rsidRPr="00AD4923">
        <w:rPr>
          <w:rStyle w:val="FootnoteReference"/>
        </w:rPr>
        <w:footnoteRef/>
      </w:r>
      <w:r w:rsidRPr="00AD4923">
        <w:t xml:space="preserve"> U.S. </w:t>
      </w:r>
      <w:proofErr w:type="spellStart"/>
      <w:r w:rsidRPr="00AD4923">
        <w:t>Dep't</w:t>
      </w:r>
      <w:proofErr w:type="spellEnd"/>
      <w:r w:rsidRPr="00AD4923">
        <w:t xml:space="preserve"> of Homeland Sec., No. DHS/USCIS/PIA-006(d), </w:t>
      </w:r>
      <w:hyperlink r:id="rId9" w:history="1">
        <w:r w:rsidRPr="00AD4923">
          <w:rPr>
            <w:rStyle w:val="Hyperlink"/>
            <w:i/>
            <w:iCs/>
          </w:rPr>
          <w:t>Privacy Impact Assessment for the Systematic Alien Verification for Entitlements "SAVE" Program</w:t>
        </w:r>
      </w:hyperlink>
      <w:r w:rsidRPr="00AD4923">
        <w:t xml:space="preserve"> (Oct. 31, 2025)(DHS Privacy Impact Statement) at pp. 19-20.</w:t>
      </w:r>
    </w:p>
  </w:footnote>
  <w:footnote w:id="15">
    <w:p w14:paraId="6AB116B6" w14:textId="77777777" w:rsidR="00E95FFE" w:rsidRPr="00AD4923" w:rsidRDefault="00E95FFE" w:rsidP="00E95FFE">
      <w:pPr>
        <w:pStyle w:val="FootnoteText"/>
      </w:pPr>
      <w:r w:rsidRPr="00AD4923">
        <w:rPr>
          <w:rStyle w:val="FootnoteReference"/>
        </w:rPr>
        <w:footnoteRef/>
      </w:r>
      <w:r w:rsidRPr="00AD4923">
        <w:t xml:space="preserve"> </w:t>
      </w:r>
      <w:r w:rsidRPr="00AD4923">
        <w:rPr>
          <w:i/>
        </w:rPr>
        <w:t>See supra</w:t>
      </w:r>
      <w:r w:rsidRPr="00AD4923">
        <w:t xml:space="preserve"> at n. 7.</w:t>
      </w:r>
    </w:p>
  </w:footnote>
  <w:footnote w:id="16">
    <w:p w14:paraId="6181A5FF" w14:textId="77777777" w:rsidR="00BD3124" w:rsidRPr="00AD4923" w:rsidRDefault="00BD3124" w:rsidP="00BD3124">
      <w:pPr>
        <w:pStyle w:val="FootnoteText"/>
      </w:pPr>
      <w:r w:rsidRPr="00AD4923">
        <w:rPr>
          <w:rStyle w:val="FootnoteReference"/>
        </w:rPr>
        <w:footnoteRef/>
      </w:r>
      <w:r w:rsidRPr="00AD4923">
        <w:t xml:space="preserve"> </w:t>
      </w:r>
      <w:r w:rsidRPr="00AD4923">
        <w:rPr>
          <w:i/>
        </w:rPr>
        <w:t>See</w:t>
      </w:r>
      <w:r w:rsidRPr="00AD4923">
        <w:t xml:space="preserve"> Letter Agreement, </w:t>
      </w:r>
      <w:r w:rsidRPr="00AD4923">
        <w:rPr>
          <w:i/>
        </w:rPr>
        <w:t>supra</w:t>
      </w:r>
      <w:r w:rsidRPr="00AD4923">
        <w:t xml:space="preserve"> at n. 3. </w:t>
      </w:r>
    </w:p>
  </w:footnote>
  <w:footnote w:id="17">
    <w:p w14:paraId="45CA1B7A" w14:textId="77777777" w:rsidR="00BD3124" w:rsidRPr="00AD4923" w:rsidRDefault="00BD3124" w:rsidP="00BD3124">
      <w:pPr>
        <w:pStyle w:val="FootnoteText"/>
      </w:pPr>
      <w:r w:rsidRPr="00AD4923">
        <w:rPr>
          <w:rStyle w:val="FootnoteReference"/>
        </w:rPr>
        <w:footnoteRef/>
      </w:r>
      <w:r w:rsidRPr="00AD4923">
        <w:t xml:space="preserve"> </w:t>
      </w:r>
      <w:r w:rsidRPr="00AD4923">
        <w:rPr>
          <w:i/>
        </w:rPr>
        <w:t xml:space="preserve">See </w:t>
      </w:r>
      <w:r w:rsidRPr="00AD4923">
        <w:t xml:space="preserve">Letter Agreement at p. 5. </w:t>
      </w:r>
      <w:r w:rsidRPr="00AD4923">
        <w:rPr>
          <w:i/>
        </w:rPr>
        <w:t>See also</w:t>
      </w:r>
      <w:r w:rsidRPr="00AD4923">
        <w:t xml:space="preserve"> 90 FR 48948, 48950 (Department of Homeland Security Notice of a modified system of records (Oct. 31, 2025). </w:t>
      </w:r>
    </w:p>
  </w:footnote>
  <w:footnote w:id="18">
    <w:p w14:paraId="758CEA1D" w14:textId="77777777" w:rsidR="00BD3124" w:rsidRPr="00AD4923" w:rsidRDefault="00BD3124" w:rsidP="00BD3124">
      <w:pPr>
        <w:pStyle w:val="FootnoteText"/>
      </w:pPr>
      <w:r w:rsidRPr="00AD4923">
        <w:rPr>
          <w:rStyle w:val="FootnoteReference"/>
        </w:rPr>
        <w:footnoteRef/>
      </w:r>
      <w:r w:rsidRPr="00AD4923">
        <w:t xml:space="preserve"> 90 FR 48948, 48,951 (“User agencies now have the capability to create cases in SAVE by uploading a file with a list of multiple cases. … the user agency no longer </w:t>
      </w:r>
      <w:proofErr w:type="gramStart"/>
      <w:r w:rsidRPr="00AD4923">
        <w:t>has to</w:t>
      </w:r>
      <w:proofErr w:type="gramEnd"/>
      <w:r w:rsidRPr="00AD4923">
        <w:t xml:space="preserve"> enter cases into SAVE one at a time.” </w:t>
      </w:r>
    </w:p>
  </w:footnote>
  <w:footnote w:id="19">
    <w:p w14:paraId="39FE4FB9" w14:textId="77777777" w:rsidR="00BD3124" w:rsidRPr="00AD4923" w:rsidRDefault="00BD3124" w:rsidP="00BD3124">
      <w:pPr>
        <w:pStyle w:val="FootnoteText"/>
      </w:pPr>
      <w:r w:rsidRPr="00AD4923">
        <w:rPr>
          <w:rStyle w:val="FootnoteReference"/>
        </w:rPr>
        <w:footnoteRef/>
      </w:r>
      <w:r w:rsidRPr="00AD4923">
        <w:t xml:space="preserve"> </w:t>
      </w:r>
      <w:r w:rsidRPr="00AD4923">
        <w:rPr>
          <w:i/>
        </w:rPr>
        <w:t xml:space="preserve">See </w:t>
      </w:r>
      <w:r w:rsidRPr="00AD4923">
        <w:t xml:space="preserve">Letter Agreement at p. 5, </w:t>
      </w:r>
      <w:r w:rsidRPr="00AD4923">
        <w:rPr>
          <w:i/>
        </w:rPr>
        <w:t>supra</w:t>
      </w:r>
      <w:r w:rsidRPr="00AD4923">
        <w:t xml:space="preserve"> at n. 3. </w:t>
      </w:r>
    </w:p>
  </w:footnote>
  <w:footnote w:id="20">
    <w:p w14:paraId="6C454957" w14:textId="77777777" w:rsidR="00BD3124" w:rsidRPr="00AD4923" w:rsidRDefault="00BD3124" w:rsidP="00BD3124">
      <w:pPr>
        <w:pStyle w:val="FootnoteText"/>
      </w:pPr>
      <w:r w:rsidRPr="00AD4923">
        <w:rPr>
          <w:rStyle w:val="FootnoteReference"/>
        </w:rPr>
        <w:footnoteRef/>
      </w:r>
      <w:r w:rsidRPr="00AD4923">
        <w:t xml:space="preserve"> 90 FR 48948, 48950.</w:t>
      </w:r>
    </w:p>
  </w:footnote>
  <w:footnote w:id="21">
    <w:p w14:paraId="391B8657" w14:textId="77777777" w:rsidR="00BD3124" w:rsidRPr="00AD4923" w:rsidRDefault="00BD3124" w:rsidP="00BD3124">
      <w:pPr>
        <w:pStyle w:val="FootnoteText"/>
      </w:pPr>
      <w:r w:rsidRPr="00AD4923">
        <w:rPr>
          <w:rStyle w:val="FootnoteReference"/>
        </w:rPr>
        <w:footnoteRef/>
      </w:r>
      <w:r w:rsidRPr="00AD4923">
        <w:t xml:space="preserve"> 5 U.S.C. § 552a(e)(4), (a)(</w:t>
      </w:r>
      <w:proofErr w:type="gramStart"/>
      <w:r w:rsidRPr="00AD4923">
        <w:t>5)(</w:t>
      </w:r>
      <w:proofErr w:type="gramEnd"/>
      <w:r w:rsidRPr="00AD4923">
        <w:t>defining “system of records”).)</w:t>
      </w:r>
    </w:p>
  </w:footnote>
  <w:footnote w:id="22">
    <w:p w14:paraId="6FFD9BA2" w14:textId="77777777" w:rsidR="00BD3124" w:rsidRPr="00AD4923" w:rsidRDefault="00BD3124" w:rsidP="00BD3124">
      <w:pPr>
        <w:pStyle w:val="FootnoteText"/>
      </w:pPr>
      <w:r w:rsidRPr="00AD4923">
        <w:rPr>
          <w:rStyle w:val="FootnoteReference"/>
        </w:rPr>
        <w:footnoteRef/>
      </w:r>
      <w:r w:rsidRPr="00AD4923">
        <w:t xml:space="preserve"> 5 U.S.C. § 552a(e)(11)</w:t>
      </w:r>
    </w:p>
  </w:footnote>
  <w:footnote w:id="23">
    <w:p w14:paraId="19487E39" w14:textId="77777777" w:rsidR="00BD3124" w:rsidRPr="00AD4923" w:rsidRDefault="00BD3124" w:rsidP="00BD3124">
      <w:pPr>
        <w:pStyle w:val="FootnoteText"/>
      </w:pPr>
      <w:r w:rsidRPr="00AD4923">
        <w:rPr>
          <w:rStyle w:val="FootnoteReference"/>
        </w:rPr>
        <w:footnoteRef/>
      </w:r>
      <w:r w:rsidRPr="00AD4923">
        <w:t xml:space="preserve"> 90 FR at 48949.</w:t>
      </w:r>
    </w:p>
  </w:footnote>
  <w:footnote w:id="24">
    <w:p w14:paraId="0D1F089B" w14:textId="77777777" w:rsidR="00BD3124" w:rsidRPr="00AD4923" w:rsidRDefault="00BD3124" w:rsidP="00BD3124">
      <w:pPr>
        <w:pStyle w:val="FootnoteText"/>
      </w:pPr>
      <w:r w:rsidRPr="00AD4923">
        <w:rPr>
          <w:rStyle w:val="FootnoteReference"/>
        </w:rPr>
        <w:footnoteRef/>
      </w:r>
      <w:r w:rsidRPr="00AD4923">
        <w:t xml:space="preserve"> 5 U.S.C. 552a(b).</w:t>
      </w:r>
    </w:p>
  </w:footnote>
  <w:footnote w:id="25">
    <w:p w14:paraId="7A99E91D" w14:textId="77777777" w:rsidR="00BD3124" w:rsidRPr="00AD4923" w:rsidRDefault="00BD3124" w:rsidP="00BD3124">
      <w:pPr>
        <w:pStyle w:val="FootnoteText"/>
      </w:pPr>
      <w:r w:rsidRPr="00AD4923">
        <w:rPr>
          <w:rStyle w:val="FootnoteReference"/>
        </w:rPr>
        <w:footnoteRef/>
      </w:r>
      <w:r w:rsidRPr="00AD4923">
        <w:t xml:space="preserve"> S. Comm. on Gov’t Operations and H.R. Comm. on Gov’t Operations, 94th Cong., 2d Sess., </w:t>
      </w:r>
      <w:hyperlink r:id="rId10" w:history="1">
        <w:r w:rsidRPr="00AD4923">
          <w:rPr>
            <w:rStyle w:val="Hyperlink"/>
          </w:rPr>
          <w:t>Legislative History of the Privacy Act of 1974</w:t>
        </w:r>
      </w:hyperlink>
      <w:r w:rsidRPr="00AD4923">
        <w:t xml:space="preserve"> – S. 3418 (Pub. L. No. 93-579), Source Book on Privacy at 168 (1976).</w:t>
      </w:r>
    </w:p>
  </w:footnote>
  <w:footnote w:id="26">
    <w:p w14:paraId="7D90F052" w14:textId="77777777" w:rsidR="00BD3124" w:rsidRPr="00AD4923" w:rsidRDefault="00BD3124" w:rsidP="00BD3124">
      <w:pPr>
        <w:pStyle w:val="FootnoteText"/>
      </w:pPr>
      <w:r w:rsidRPr="00AD4923">
        <w:rPr>
          <w:rStyle w:val="FootnoteReference"/>
        </w:rPr>
        <w:footnoteRef/>
      </w:r>
      <w:r w:rsidRPr="00AD4923">
        <w:t xml:space="preserve"> </w:t>
      </w:r>
      <w:r w:rsidRPr="00AD4923">
        <w:rPr>
          <w:i/>
        </w:rPr>
        <w:t>Id</w:t>
      </w:r>
      <w:r w:rsidRPr="00AD4923">
        <w:t>. at 884.</w:t>
      </w:r>
    </w:p>
  </w:footnote>
  <w:footnote w:id="27">
    <w:p w14:paraId="3C60847B" w14:textId="77777777" w:rsidR="00BD3124" w:rsidRPr="00AD4923" w:rsidRDefault="00BD3124" w:rsidP="00BD3124">
      <w:pPr>
        <w:pStyle w:val="FootnoteText"/>
      </w:pPr>
      <w:r w:rsidRPr="00AD4923">
        <w:rPr>
          <w:rStyle w:val="FootnoteReference"/>
        </w:rPr>
        <w:footnoteRef/>
      </w:r>
      <w:r w:rsidRPr="00AD4923">
        <w:t xml:space="preserve"> 5 U.S.C. § 706(2)(A).</w:t>
      </w:r>
    </w:p>
  </w:footnote>
  <w:footnote w:id="28">
    <w:p w14:paraId="5DC744EA" w14:textId="77777777" w:rsidR="00BD3124" w:rsidRPr="00AD4923" w:rsidRDefault="00BD3124" w:rsidP="00BD3124">
      <w:pPr>
        <w:pStyle w:val="FootnoteText"/>
      </w:pPr>
      <w:r w:rsidRPr="00AD4923">
        <w:rPr>
          <w:rStyle w:val="FootnoteReference"/>
        </w:rPr>
        <w:footnoteRef/>
      </w:r>
      <w:r w:rsidRPr="00AD4923">
        <w:t xml:space="preserve"> 5 U.S.C. § 552a(e)(6).</w:t>
      </w:r>
    </w:p>
  </w:footnote>
  <w:footnote w:id="29">
    <w:p w14:paraId="40ABA3DE" w14:textId="77777777" w:rsidR="00BD3124" w:rsidRPr="00AD4923" w:rsidRDefault="00BD3124" w:rsidP="00BD3124">
      <w:pPr>
        <w:rPr>
          <w:sz w:val="20"/>
          <w:szCs w:val="20"/>
        </w:rPr>
      </w:pPr>
      <w:r w:rsidRPr="00AD4923">
        <w:rPr>
          <w:rStyle w:val="FootnoteReference"/>
          <w:sz w:val="20"/>
          <w:szCs w:val="20"/>
        </w:rPr>
        <w:footnoteRef/>
      </w:r>
      <w:r w:rsidRPr="00AD4923">
        <w:rPr>
          <w:sz w:val="20"/>
          <w:szCs w:val="20"/>
        </w:rPr>
        <w:t xml:space="preserve"> 5 U.S.C. § 552a(e)(10). </w:t>
      </w:r>
    </w:p>
  </w:footnote>
  <w:footnote w:id="30">
    <w:p w14:paraId="13BA53D8" w14:textId="77777777" w:rsidR="00BD3124" w:rsidRPr="00AD4923" w:rsidRDefault="00BD3124" w:rsidP="00BD3124">
      <w:pPr>
        <w:pStyle w:val="FootnoteText"/>
      </w:pPr>
      <w:r w:rsidRPr="00AD4923">
        <w:rPr>
          <w:rStyle w:val="FootnoteReference"/>
        </w:rPr>
        <w:footnoteRef/>
      </w:r>
      <w:r w:rsidRPr="00AD4923">
        <w:t xml:space="preserve"> Press Release, USCIS Deploys Common Sense Tools to Verify Voters, USCIS (May 22, 2025). Accessed at USCIS SAVE Press Release, see also April 22, 2025, SAVE press release. Accessed at https://www.uscis.gov/newsroom/news-releases/uscis-deploys-common-sense-tools-to-verify-voters.</w:t>
      </w:r>
    </w:p>
  </w:footnote>
  <w:footnote w:id="31">
    <w:p w14:paraId="6E2F30ED" w14:textId="77777777" w:rsidR="00BD3124" w:rsidRPr="00AD4923" w:rsidRDefault="00BD3124" w:rsidP="00BD3124">
      <w:pPr>
        <w:pStyle w:val="FootnoteText"/>
      </w:pPr>
      <w:r w:rsidRPr="00AD4923">
        <w:rPr>
          <w:rStyle w:val="FootnoteReference"/>
        </w:rPr>
        <w:footnoteRef/>
      </w:r>
      <w:r w:rsidRPr="00AD4923">
        <w:t xml:space="preserve"> In DHS’s Privacy Impact Statement for SAVE released on October 31, 2025, DHS admits “[t]here is a risk that the new category [of] individuals covered by this assessment/notice, specifically, United States born citizens[,] do not have the opportunity to individually participate or consent in how the U.S. Citizenship and Immigration Services uses their information.” DHS Privacy Impact Statement at p. 20-21, </w:t>
      </w:r>
      <w:r w:rsidRPr="00AD4923">
        <w:rPr>
          <w:i/>
        </w:rPr>
        <w:t>supra</w:t>
      </w:r>
      <w:r w:rsidRPr="00AD4923">
        <w:t xml:space="preserve"> at n. 3. </w:t>
      </w:r>
    </w:p>
  </w:footnote>
  <w:footnote w:id="32">
    <w:p w14:paraId="57808372" w14:textId="77777777" w:rsidR="00447074" w:rsidRPr="00AD4923" w:rsidRDefault="00447074" w:rsidP="00447074">
      <w:pPr>
        <w:pStyle w:val="FootnoteText"/>
      </w:pPr>
      <w:r w:rsidRPr="00AD4923">
        <w:rPr>
          <w:rStyle w:val="FootnoteReference"/>
        </w:rPr>
        <w:footnoteRef/>
      </w:r>
      <w:r w:rsidRPr="00AD4923">
        <w:t xml:space="preserve"> This section, enacted as part of the Illegal Immigration Reform and Immigrant Responsibility Act of 1996, </w:t>
      </w:r>
      <w:proofErr w:type="gramStart"/>
      <w:r w:rsidRPr="00AD4923">
        <w:t>and also</w:t>
      </w:r>
      <w:proofErr w:type="gramEnd"/>
      <w:r w:rsidRPr="00AD4923">
        <w:t xml:space="preserve"> as part of the Omnibus Consolidated Appropriations Act, 1997, provides:</w:t>
      </w:r>
    </w:p>
    <w:p w14:paraId="783F978F" w14:textId="77777777" w:rsidR="00447074" w:rsidRPr="00AD4923" w:rsidRDefault="00447074" w:rsidP="00447074">
      <w:pPr>
        <w:pStyle w:val="FootnoteText"/>
        <w:ind w:left="360"/>
      </w:pPr>
      <w:r w:rsidRPr="00AD4923">
        <w:t>Notwithstanding any other provision of Federal, State, or local law, a Federal, State, or local government entity or official may not prohibit, or in any way restrict, any government entity or official from sending to, or receiving from, the Immigration and Naturalization Service information regarding the citizenship or immigration status, lawful or unlawful, of any individual.</w:t>
      </w:r>
    </w:p>
  </w:footnote>
  <w:footnote w:id="33">
    <w:p w14:paraId="3AA63F69" w14:textId="77777777" w:rsidR="00447074" w:rsidRPr="00AD4923" w:rsidRDefault="00447074" w:rsidP="00447074">
      <w:pPr>
        <w:pStyle w:val="FootnoteText"/>
      </w:pPr>
      <w:r w:rsidRPr="00AD4923">
        <w:rPr>
          <w:rStyle w:val="FootnoteReference"/>
        </w:rPr>
        <w:footnoteRef/>
      </w:r>
      <w:r w:rsidRPr="00AD4923">
        <w:t xml:space="preserve"> Memorandum Opinion for the General Counsel, Department of Commerce, “Relationship Between Illegal Immigration Reform and Immigrant Responsibility Act of 1996 and Statutory Requirement for Confidentiality of Census Information,” May 18, 1999.</w:t>
      </w:r>
    </w:p>
  </w:footnote>
  <w:footnote w:id="34">
    <w:p w14:paraId="16DB7FBB" w14:textId="77777777" w:rsidR="00447074" w:rsidRPr="00AD4923" w:rsidRDefault="00447074" w:rsidP="00447074">
      <w:pPr>
        <w:pStyle w:val="FootnoteText"/>
      </w:pPr>
      <w:r w:rsidRPr="00AD4923">
        <w:rPr>
          <w:rStyle w:val="FootnoteReference"/>
        </w:rPr>
        <w:footnoteRef/>
      </w:r>
      <w:r w:rsidRPr="00AD4923">
        <w:t xml:space="preserve"> </w:t>
      </w:r>
      <w:r w:rsidRPr="00AD4923">
        <w:rPr>
          <w:i/>
        </w:rPr>
        <w:t xml:space="preserve">See </w:t>
      </w:r>
      <w:r w:rsidRPr="00AD4923">
        <w:t>5 U.S.C. § 552a(a)(8)(B)(i)-(x).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4EFAB" w14:textId="77777777" w:rsidR="00B834F8" w:rsidRDefault="00000000">
    <w:pPr>
      <w:pBdr>
        <w:top w:val="nil"/>
        <w:left w:val="nil"/>
        <w:bottom w:val="nil"/>
        <w:right w:val="nil"/>
        <w:between w:val="nil"/>
      </w:pBdr>
      <w:tabs>
        <w:tab w:val="center" w:pos="4320"/>
        <w:tab w:val="right" w:pos="8640"/>
      </w:tabs>
      <w:jc w:val="center"/>
      <w:rPr>
        <w:color w:val="000000"/>
      </w:rPr>
    </w:pPr>
    <w:r>
      <w:rPr>
        <w:noProof/>
        <w:color w:val="000000"/>
      </w:rPr>
      <w:drawing>
        <wp:inline distT="0" distB="0" distL="0" distR="0" wp14:anchorId="78E1117C" wp14:editId="6D68BA87">
          <wp:extent cx="2694322" cy="1398974"/>
          <wp:effectExtent l="0" t="0" r="0" b="0"/>
          <wp:docPr id="3" name="image1.jpg" descr="White letters spelling &quot;CCD&quot; on green background. Underneath are the words&#10; &quot;Consortium for Constituents with Disabilities.&quot;"/>
          <wp:cNvGraphicFramePr/>
          <a:graphic xmlns:a="http://schemas.openxmlformats.org/drawingml/2006/main">
            <a:graphicData uri="http://schemas.openxmlformats.org/drawingml/2006/picture">
              <pic:pic xmlns:pic="http://schemas.openxmlformats.org/drawingml/2006/picture">
                <pic:nvPicPr>
                  <pic:cNvPr id="0" name="image1.jpg" descr="White letters spelling &quot;CCD&quot; on green background. Underneath are the words&#10; &quot;Consortium for Constituents with Disabilities.&quot;"/>
                  <pic:cNvPicPr preferRelativeResize="0"/>
                </pic:nvPicPr>
                <pic:blipFill>
                  <a:blip r:embed="rId1"/>
                  <a:srcRect/>
                  <a:stretch>
                    <a:fillRect/>
                  </a:stretch>
                </pic:blipFill>
                <pic:spPr>
                  <a:xfrm>
                    <a:off x="0" y="0"/>
                    <a:ext cx="2694322" cy="1398974"/>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4B5692"/>
    <w:multiLevelType w:val="hybridMultilevel"/>
    <w:tmpl w:val="4B5C61CC"/>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0047CD6"/>
    <w:multiLevelType w:val="hybridMultilevel"/>
    <w:tmpl w:val="514EABE8"/>
    <w:lvl w:ilvl="0" w:tplc="6630AC52">
      <w:start w:val="1"/>
      <w:numFmt w:val="upperLetter"/>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47E7FC7"/>
    <w:multiLevelType w:val="hybridMultilevel"/>
    <w:tmpl w:val="DBCC9A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9524587"/>
    <w:multiLevelType w:val="hybridMultilevel"/>
    <w:tmpl w:val="360A8782"/>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40F835C7"/>
    <w:multiLevelType w:val="hybridMultilevel"/>
    <w:tmpl w:val="BAE45EF8"/>
    <w:lvl w:ilvl="0" w:tplc="C05625A6">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43A843CE"/>
    <w:multiLevelType w:val="hybridMultilevel"/>
    <w:tmpl w:val="302C978C"/>
    <w:lvl w:ilvl="0" w:tplc="122C6DD0">
      <w:start w:val="3"/>
      <w:numFmt w:val="upperRoman"/>
      <w:lvlText w:val="%1."/>
      <w:lvlJc w:val="left"/>
      <w:pPr>
        <w:ind w:left="720" w:hanging="720"/>
      </w:pPr>
      <w:rPr>
        <w:rFonts w:ascii="Times New Roman" w:hAnsi="Times New Roman" w:cs="Times New Roman"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59974E0E"/>
    <w:multiLevelType w:val="hybridMultilevel"/>
    <w:tmpl w:val="BD6A0982"/>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5DF961DC"/>
    <w:multiLevelType w:val="multilevel"/>
    <w:tmpl w:val="0B1EF8C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445533646">
    <w:abstractNumId w:val="7"/>
  </w:num>
  <w:num w:numId="2" w16cid:durableId="193882578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049526604">
    <w:abstractNumId w:val="2"/>
  </w:num>
  <w:num w:numId="4" w16cid:durableId="106043198">
    <w:abstractNumId w:val="4"/>
  </w:num>
  <w:num w:numId="5" w16cid:durableId="1271351485">
    <w:abstractNumId w:val="1"/>
  </w:num>
  <w:num w:numId="6" w16cid:durableId="535194509">
    <w:abstractNumId w:val="6"/>
  </w:num>
  <w:num w:numId="7" w16cid:durableId="1828978918">
    <w:abstractNumId w:val="0"/>
  </w:num>
  <w:num w:numId="8" w16cid:durableId="206455329">
    <w:abstractNumId w:val="3"/>
  </w:num>
  <w:num w:numId="9" w16cid:durableId="42665284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34F8"/>
    <w:rsid w:val="00001605"/>
    <w:rsid w:val="0016733F"/>
    <w:rsid w:val="00247F1A"/>
    <w:rsid w:val="002750B9"/>
    <w:rsid w:val="00447074"/>
    <w:rsid w:val="004702B7"/>
    <w:rsid w:val="005263A2"/>
    <w:rsid w:val="00803C41"/>
    <w:rsid w:val="00A24528"/>
    <w:rsid w:val="00AD4923"/>
    <w:rsid w:val="00B834F8"/>
    <w:rsid w:val="00BD3124"/>
    <w:rsid w:val="00CA3841"/>
    <w:rsid w:val="00CD3F28"/>
    <w:rsid w:val="00D11518"/>
    <w:rsid w:val="00E95F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E9B675"/>
  <w15:docId w15:val="{E8C36DEA-303B-4278-87AB-A0B2B8FF1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rFonts w:ascii="Bad Script" w:eastAsia="Bad Script" w:hAnsi="Bad Script" w:cs="Bad Script"/>
      <w:sz w:val="36"/>
      <w:szCs w:val="36"/>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Header">
    <w:name w:val="header"/>
    <w:basedOn w:val="Normal"/>
    <w:rsid w:val="00BC2416"/>
    <w:pPr>
      <w:tabs>
        <w:tab w:val="center" w:pos="4320"/>
        <w:tab w:val="right" w:pos="8640"/>
      </w:tabs>
    </w:pPr>
  </w:style>
  <w:style w:type="paragraph" w:styleId="Footer">
    <w:name w:val="footer"/>
    <w:basedOn w:val="Normal"/>
    <w:link w:val="FooterChar"/>
    <w:uiPriority w:val="99"/>
    <w:rsid w:val="00BC2416"/>
    <w:pPr>
      <w:tabs>
        <w:tab w:val="center" w:pos="4320"/>
        <w:tab w:val="right" w:pos="8640"/>
      </w:tabs>
    </w:pPr>
  </w:style>
  <w:style w:type="character" w:styleId="Hyperlink">
    <w:name w:val="Hyperlink"/>
    <w:basedOn w:val="DefaultParagraphFont"/>
    <w:rsid w:val="0042474F"/>
    <w:rPr>
      <w:color w:val="000000"/>
      <w:u w:val="single"/>
    </w:rPr>
  </w:style>
  <w:style w:type="character" w:styleId="PageNumber">
    <w:name w:val="page number"/>
    <w:basedOn w:val="DefaultParagraphFont"/>
    <w:rsid w:val="001A6537"/>
  </w:style>
  <w:style w:type="paragraph" w:styleId="HTMLPreformatted">
    <w:name w:val="HTML Preformatted"/>
    <w:basedOn w:val="Normal"/>
    <w:rsid w:val="00CF50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BalloonText">
    <w:name w:val="Balloon Text"/>
    <w:basedOn w:val="Normal"/>
    <w:link w:val="BalloonTextChar"/>
    <w:rsid w:val="003A1176"/>
    <w:rPr>
      <w:rFonts w:ascii="Tahoma" w:hAnsi="Tahoma" w:cs="Tahoma"/>
      <w:sz w:val="16"/>
      <w:szCs w:val="16"/>
    </w:rPr>
  </w:style>
  <w:style w:type="character" w:customStyle="1" w:styleId="BalloonTextChar">
    <w:name w:val="Balloon Text Char"/>
    <w:basedOn w:val="DefaultParagraphFont"/>
    <w:link w:val="BalloonText"/>
    <w:rsid w:val="003A1176"/>
    <w:rPr>
      <w:rFonts w:ascii="Tahoma" w:hAnsi="Tahoma" w:cs="Tahoma"/>
      <w:sz w:val="16"/>
      <w:szCs w:val="16"/>
    </w:rPr>
  </w:style>
  <w:style w:type="character" w:customStyle="1" w:styleId="apple-style-span">
    <w:name w:val="apple-style-span"/>
    <w:basedOn w:val="DefaultParagraphFont"/>
    <w:rsid w:val="003A1176"/>
  </w:style>
  <w:style w:type="character" w:customStyle="1" w:styleId="apple-converted-space">
    <w:name w:val="apple-converted-space"/>
    <w:basedOn w:val="DefaultParagraphFont"/>
    <w:rsid w:val="003A1176"/>
  </w:style>
  <w:style w:type="paragraph" w:styleId="BodyText">
    <w:name w:val="Body Text"/>
    <w:basedOn w:val="Normal"/>
    <w:link w:val="BodyTextChar"/>
    <w:rsid w:val="003A1176"/>
    <w:rPr>
      <w:szCs w:val="20"/>
    </w:rPr>
  </w:style>
  <w:style w:type="character" w:customStyle="1" w:styleId="BodyTextChar">
    <w:name w:val="Body Text Char"/>
    <w:basedOn w:val="DefaultParagraphFont"/>
    <w:link w:val="BodyText"/>
    <w:rsid w:val="003A1176"/>
    <w:rPr>
      <w:sz w:val="24"/>
    </w:rPr>
  </w:style>
  <w:style w:type="paragraph" w:styleId="FootnoteText">
    <w:name w:val="footnote text"/>
    <w:basedOn w:val="Normal"/>
    <w:link w:val="FootnoteTextChar"/>
    <w:uiPriority w:val="99"/>
    <w:unhideWhenUsed/>
    <w:rsid w:val="003A1176"/>
    <w:rPr>
      <w:sz w:val="20"/>
      <w:szCs w:val="20"/>
    </w:rPr>
  </w:style>
  <w:style w:type="character" w:customStyle="1" w:styleId="FootnoteTextChar">
    <w:name w:val="Footnote Text Char"/>
    <w:basedOn w:val="DefaultParagraphFont"/>
    <w:link w:val="FootnoteText"/>
    <w:uiPriority w:val="99"/>
    <w:rsid w:val="003A1176"/>
  </w:style>
  <w:style w:type="character" w:styleId="FootnoteReference">
    <w:name w:val="footnote reference"/>
    <w:basedOn w:val="DefaultParagraphFont"/>
    <w:uiPriority w:val="99"/>
    <w:unhideWhenUsed/>
    <w:rsid w:val="003A1176"/>
    <w:rPr>
      <w:vertAlign w:val="superscript"/>
    </w:rPr>
  </w:style>
  <w:style w:type="paragraph" w:styleId="EndnoteText">
    <w:name w:val="endnote text"/>
    <w:basedOn w:val="Normal"/>
    <w:link w:val="EndnoteTextChar"/>
    <w:uiPriority w:val="99"/>
    <w:rsid w:val="00342B49"/>
    <w:rPr>
      <w:sz w:val="20"/>
      <w:szCs w:val="20"/>
    </w:rPr>
  </w:style>
  <w:style w:type="character" w:customStyle="1" w:styleId="EndnoteTextChar">
    <w:name w:val="Endnote Text Char"/>
    <w:basedOn w:val="DefaultParagraphFont"/>
    <w:link w:val="EndnoteText"/>
    <w:uiPriority w:val="99"/>
    <w:rsid w:val="00342B49"/>
  </w:style>
  <w:style w:type="character" w:styleId="EndnoteReference">
    <w:name w:val="endnote reference"/>
    <w:basedOn w:val="DefaultParagraphFont"/>
    <w:uiPriority w:val="99"/>
    <w:rsid w:val="00342B49"/>
    <w:rPr>
      <w:vertAlign w:val="superscript"/>
    </w:rPr>
  </w:style>
  <w:style w:type="paragraph" w:styleId="NoSpacing">
    <w:name w:val="No Spacing"/>
    <w:qFormat/>
    <w:rsid w:val="00154B57"/>
    <w:rPr>
      <w:rFonts w:asciiTheme="minorHAnsi" w:eastAsiaTheme="minorHAnsi" w:hAnsiTheme="minorHAnsi" w:cstheme="minorBidi"/>
      <w:sz w:val="22"/>
      <w:szCs w:val="22"/>
    </w:rPr>
  </w:style>
  <w:style w:type="paragraph" w:styleId="ListParagraph">
    <w:name w:val="List Paragraph"/>
    <w:basedOn w:val="Normal"/>
    <w:uiPriority w:val="34"/>
    <w:qFormat/>
    <w:rsid w:val="006F141C"/>
    <w:pPr>
      <w:spacing w:after="200" w:line="276" w:lineRule="auto"/>
      <w:ind w:left="720"/>
      <w:contextualSpacing/>
    </w:pPr>
    <w:rPr>
      <w:rFonts w:asciiTheme="minorHAnsi" w:eastAsiaTheme="minorHAnsi" w:hAnsiTheme="minorHAnsi" w:cstheme="minorBidi"/>
      <w:sz w:val="22"/>
      <w:szCs w:val="22"/>
    </w:rPr>
  </w:style>
  <w:style w:type="paragraph" w:customStyle="1" w:styleId="Default">
    <w:name w:val="Default"/>
    <w:rsid w:val="00893689"/>
    <w:pPr>
      <w:autoSpaceDE w:val="0"/>
      <w:autoSpaceDN w:val="0"/>
      <w:adjustRightInd w:val="0"/>
    </w:pPr>
    <w:rPr>
      <w:rFonts w:eastAsiaTheme="minorHAnsi"/>
      <w:color w:val="000000"/>
    </w:rPr>
  </w:style>
  <w:style w:type="paragraph" w:styleId="NormalWeb">
    <w:name w:val="Normal (Web)"/>
    <w:basedOn w:val="Normal"/>
    <w:uiPriority w:val="99"/>
    <w:unhideWhenUsed/>
    <w:rsid w:val="00893689"/>
    <w:pPr>
      <w:spacing w:before="100" w:beforeAutospacing="1" w:after="100" w:afterAutospacing="1"/>
    </w:pPr>
  </w:style>
  <w:style w:type="character" w:customStyle="1" w:styleId="enumxml">
    <w:name w:val="enumxml"/>
    <w:basedOn w:val="DefaultParagraphFont"/>
    <w:rsid w:val="00893689"/>
  </w:style>
  <w:style w:type="character" w:customStyle="1" w:styleId="ptext-1">
    <w:name w:val="ptext-1"/>
    <w:basedOn w:val="DefaultParagraphFont"/>
    <w:rsid w:val="00893689"/>
  </w:style>
  <w:style w:type="character" w:styleId="CommentReference">
    <w:name w:val="annotation reference"/>
    <w:basedOn w:val="DefaultParagraphFont"/>
    <w:uiPriority w:val="99"/>
    <w:unhideWhenUsed/>
    <w:rsid w:val="00893689"/>
    <w:rPr>
      <w:sz w:val="16"/>
      <w:szCs w:val="16"/>
    </w:rPr>
  </w:style>
  <w:style w:type="paragraph" w:styleId="CommentText">
    <w:name w:val="annotation text"/>
    <w:basedOn w:val="Normal"/>
    <w:link w:val="CommentTextChar"/>
    <w:uiPriority w:val="99"/>
    <w:unhideWhenUsed/>
    <w:rsid w:val="00893689"/>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893689"/>
    <w:rPr>
      <w:rFonts w:asciiTheme="minorHAnsi" w:eastAsiaTheme="minorHAnsi" w:hAnsiTheme="minorHAnsi" w:cstheme="minorBidi"/>
    </w:rPr>
  </w:style>
  <w:style w:type="paragraph" w:styleId="CommentSubject">
    <w:name w:val="annotation subject"/>
    <w:basedOn w:val="CommentText"/>
    <w:next w:val="CommentText"/>
    <w:link w:val="CommentSubjectChar"/>
    <w:rsid w:val="00893689"/>
    <w:pPr>
      <w:spacing w:after="0"/>
    </w:pPr>
    <w:rPr>
      <w:rFonts w:ascii="Times New Roman" w:eastAsia="Times New Roman" w:hAnsi="Times New Roman" w:cs="Times New Roman"/>
      <w:b/>
      <w:bCs/>
    </w:rPr>
  </w:style>
  <w:style w:type="character" w:customStyle="1" w:styleId="CommentSubjectChar">
    <w:name w:val="Comment Subject Char"/>
    <w:basedOn w:val="CommentTextChar"/>
    <w:link w:val="CommentSubject"/>
    <w:rsid w:val="00893689"/>
    <w:rPr>
      <w:rFonts w:asciiTheme="minorHAnsi" w:eastAsiaTheme="minorHAnsi" w:hAnsiTheme="minorHAnsi" w:cstheme="minorBidi"/>
      <w:b/>
      <w:bCs/>
    </w:rPr>
  </w:style>
  <w:style w:type="numbering" w:customStyle="1" w:styleId="ImportedStyle1">
    <w:name w:val="Imported Style 1"/>
    <w:rsid w:val="0060095E"/>
  </w:style>
  <w:style w:type="numbering" w:customStyle="1" w:styleId="ImportedStyle2">
    <w:name w:val="Imported Style 2"/>
    <w:rsid w:val="0060095E"/>
  </w:style>
  <w:style w:type="paragraph" w:styleId="PlainText">
    <w:name w:val="Plain Text"/>
    <w:basedOn w:val="Normal"/>
    <w:link w:val="PlainTextChar"/>
    <w:uiPriority w:val="99"/>
    <w:unhideWhenUsed/>
    <w:rsid w:val="00430971"/>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430971"/>
    <w:rPr>
      <w:rFonts w:ascii="Calibri" w:eastAsiaTheme="minorHAnsi" w:hAnsi="Calibri" w:cstheme="minorBidi"/>
      <w:sz w:val="22"/>
      <w:szCs w:val="21"/>
    </w:rPr>
  </w:style>
  <w:style w:type="character" w:styleId="UnresolvedMention">
    <w:name w:val="Unresolved Mention"/>
    <w:basedOn w:val="DefaultParagraphFont"/>
    <w:uiPriority w:val="99"/>
    <w:semiHidden/>
    <w:unhideWhenUsed/>
    <w:rsid w:val="008973A4"/>
    <w:rPr>
      <w:color w:val="605E5C"/>
      <w:shd w:val="clear" w:color="auto" w:fill="E1DFDD"/>
    </w:rPr>
  </w:style>
  <w:style w:type="paragraph" w:styleId="Date">
    <w:name w:val="Date"/>
    <w:basedOn w:val="Normal"/>
    <w:next w:val="Normal"/>
    <w:link w:val="DateChar"/>
    <w:rsid w:val="0066136D"/>
  </w:style>
  <w:style w:type="character" w:customStyle="1" w:styleId="DateChar">
    <w:name w:val="Date Char"/>
    <w:basedOn w:val="DefaultParagraphFont"/>
    <w:link w:val="Date"/>
    <w:rsid w:val="0066136D"/>
    <w:rPr>
      <w:sz w:val="24"/>
      <w:szCs w:val="24"/>
    </w:rPr>
  </w:style>
  <w:style w:type="character" w:customStyle="1" w:styleId="normaltextrun">
    <w:name w:val="normaltextrun"/>
    <w:basedOn w:val="DefaultParagraphFont"/>
    <w:rsid w:val="00A91585"/>
  </w:style>
  <w:style w:type="character" w:customStyle="1" w:styleId="eop">
    <w:name w:val="eop"/>
    <w:basedOn w:val="DefaultParagraphFont"/>
    <w:rsid w:val="00A91585"/>
  </w:style>
  <w:style w:type="character" w:customStyle="1" w:styleId="FooterChar">
    <w:name w:val="Footer Char"/>
    <w:basedOn w:val="DefaultParagraphFont"/>
    <w:link w:val="Footer"/>
    <w:uiPriority w:val="99"/>
    <w:rsid w:val="00FA5EA6"/>
    <w:rPr>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customStyle="1" w:styleId="xmsonormal">
    <w:name w:val="x_msonormal"/>
    <w:basedOn w:val="Normal"/>
    <w:rsid w:val="00E95FFE"/>
    <w:pPr>
      <w:spacing w:before="100" w:beforeAutospacing="1" w:after="100" w:afterAutospacing="1"/>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regulations.gov/" TargetMode="External"/><Relationship Id="rId13" Type="http://schemas.openxmlformats.org/officeDocument/2006/relationships/hyperlink" Target="https://popular.info/p/exclusive-secret-policy-shift-could"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secure.ssa.gov/poms.nsf/lnx/0110205700"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airelectionscenter.org/wp-content/uploads/2025/07/SSA-Touhy-Decision-letter.July-13-2023-signed.pdf" TargetMode="External"/><Relationship Id="rId5" Type="http://schemas.openxmlformats.org/officeDocument/2006/relationships/webSettings" Target="webSettings.xml"/><Relationship Id="rId15" Type="http://schemas.openxmlformats.org/officeDocument/2006/relationships/hyperlink" Target="https://www.dhs.gov/sites/default/files/2025-10/privacy-pia-dhsuscis006d-save-october2025%20%28002%29.pdf" TargetMode="External"/><Relationship Id="rId10" Type="http://schemas.openxmlformats.org/officeDocument/2006/relationships/hyperlink" Target="https://www.ssa.gov/policy/docs/ssb/v69n2/v69n2p55.html"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ssa.gov/policy/docs/ssb/v69n2/v69n2p55.html" TargetMode="External"/><Relationship Id="rId14" Type="http://schemas.openxmlformats.org/officeDocument/2006/relationships/hyperlink" Target="https://fairelectionscenter.org/wp-content/uploads/2025/07/SSA-Touhy-Decision-letter.July-13-2023-signed.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8" Type="http://schemas.openxmlformats.org/officeDocument/2006/relationships/hyperlink" Target="https://www.uscis.gov/citizenship-resource-center/naturalization-statistics" TargetMode="External"/><Relationship Id="rId3" Type="http://schemas.openxmlformats.org/officeDocument/2006/relationships/hyperlink" Target="https://www.courtlistener.com/docket/71499795/league-of-women-voters-v-us-department-of-homeland-security/" TargetMode="External"/><Relationship Id="rId7" Type="http://schemas.openxmlformats.org/officeDocument/2006/relationships/hyperlink" Target="https://oig-files.ssa.gov/audits/full/A-08-06-26100_0.pdf" TargetMode="External"/><Relationship Id="rId2" Type="http://schemas.openxmlformats.org/officeDocument/2006/relationships/hyperlink" Target="https://www.courtlistener.com/docket/71137685/bower-v-us-social-security-administration/" TargetMode="External"/><Relationship Id="rId1" Type="http://schemas.openxmlformats.org/officeDocument/2006/relationships/hyperlink" Target="https://www.govinfo.gov/app/details/FR-2025-10-31/2025-19735" TargetMode="External"/><Relationship Id="rId6" Type="http://schemas.openxmlformats.org/officeDocument/2006/relationships/hyperlink" Target="https://popular.info/p/update-congressman-demands-social" TargetMode="External"/><Relationship Id="rId5" Type="http://schemas.openxmlformats.org/officeDocument/2006/relationships/hyperlink" Target="https://secure.ssa.gov/poms.nsf/lnx/0110205700" TargetMode="External"/><Relationship Id="rId10" Type="http://schemas.openxmlformats.org/officeDocument/2006/relationships/hyperlink" Target="https://perma.cc/9W9F-R5ZL" TargetMode="External"/><Relationship Id="rId4" Type="http://schemas.openxmlformats.org/officeDocument/2006/relationships/hyperlink" Target="https://perma.cc/KS2N-U2US" TargetMode="External"/><Relationship Id="rId9" Type="http://schemas.openxmlformats.org/officeDocument/2006/relationships/hyperlink" Target="https://www.dhs.gov/sites/default/files/2025-10/privacy-pia-dhsuscis006d-save-october2025%20%28002%29.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N+o5QWsYKkjzXkSwQ2W637jDaA==">CgMxLjA4AHIhMU9kd3hkSGJaWmtOemxQU0tVbzlLN0RoZElTWERETFlJ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2532</Words>
  <Characters>15220</Characters>
  <Application>Microsoft Office Word</Application>
  <DocSecurity>0</DocSecurity>
  <Lines>447</Lines>
  <Paragraphs>227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Walker</dc:creator>
  <cp:lastModifiedBy>Jennifer Cronenberg</cp:lastModifiedBy>
  <cp:revision>2</cp:revision>
  <dcterms:created xsi:type="dcterms:W3CDTF">2025-12-10T19:28:00Z</dcterms:created>
  <dcterms:modified xsi:type="dcterms:W3CDTF">2025-12-10T19:28:00Z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0x01010046B565E8D2E4904E80FF3950A6DC44DD</vt:lpwstr>
  </property>
  <property fmtid="{D5CDD505-2E9C-101B-9397-08002B2CF9AE}" pid="3" name="MediaServiceImageTags">
    <vt:lpwstr/>
  </property>
</Properties>
</file>