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203"/>
      </w:pPr>
      <w:r>
        <w:rPr/>
        <w:t>October</w:t>
      </w:r>
      <w:r>
        <w:rPr>
          <w:spacing w:val="-5"/>
        </w:rPr>
        <w:t> </w:t>
      </w:r>
      <w:r>
        <w:rPr/>
        <w:t>30,</w:t>
      </w:r>
      <w:r>
        <w:rPr>
          <w:spacing w:val="-5"/>
        </w:rPr>
        <w:t> </w:t>
      </w:r>
      <w:r>
        <w:rPr>
          <w:spacing w:val="-4"/>
        </w:rPr>
        <w:t>2025</w:t>
      </w:r>
    </w:p>
    <w:p>
      <w:pPr>
        <w:pStyle w:val="BodyText"/>
        <w:spacing w:before="76"/>
      </w:pPr>
    </w:p>
    <w:p>
      <w:pPr>
        <w:pStyle w:val="BodyText"/>
        <w:spacing w:line="276" w:lineRule="auto"/>
        <w:ind w:right="5051"/>
      </w:pPr>
      <w:r>
        <w:rPr/>
        <w:t>Department</w:t>
      </w:r>
      <w:r>
        <w:rPr>
          <w:spacing w:val="-9"/>
        </w:rPr>
        <w:t> </w:t>
      </w:r>
      <w:r>
        <w:rPr/>
        <w:t>of</w:t>
      </w:r>
      <w:r>
        <w:rPr>
          <w:spacing w:val="-9"/>
        </w:rPr>
        <w:t> </w:t>
      </w:r>
      <w:r>
        <w:rPr/>
        <w:t>Health</w:t>
      </w:r>
      <w:r>
        <w:rPr>
          <w:spacing w:val="-9"/>
        </w:rPr>
        <w:t> </w:t>
      </w:r>
      <w:r>
        <w:rPr/>
        <w:t>and</w:t>
      </w:r>
      <w:r>
        <w:rPr>
          <w:spacing w:val="-9"/>
        </w:rPr>
        <w:t> </w:t>
      </w:r>
      <w:r>
        <w:rPr/>
        <w:t>Human</w:t>
      </w:r>
      <w:r>
        <w:rPr>
          <w:spacing w:val="-9"/>
        </w:rPr>
        <w:t> </w:t>
      </w:r>
      <w:r>
        <w:rPr/>
        <w:t>Services Food and Drug Administration Commissioner Marty Makary, M.D., M.P.H 5630 Fishers Lane Rm. 1061</w:t>
      </w:r>
    </w:p>
    <w:p>
      <w:pPr>
        <w:pStyle w:val="BodyText"/>
      </w:pPr>
      <w:r>
        <w:rPr/>
        <w:t>Rockville,</w:t>
      </w:r>
      <w:r>
        <w:rPr>
          <w:spacing w:val="-6"/>
        </w:rPr>
        <w:t> </w:t>
      </w:r>
      <w:r>
        <w:rPr/>
        <w:t>MD</w:t>
      </w:r>
      <w:r>
        <w:rPr>
          <w:spacing w:val="-6"/>
        </w:rPr>
        <w:t> </w:t>
      </w:r>
      <w:r>
        <w:rPr>
          <w:spacing w:val="-2"/>
        </w:rPr>
        <w:t>20852</w:t>
      </w:r>
    </w:p>
    <w:p>
      <w:pPr>
        <w:pStyle w:val="BodyText"/>
        <w:spacing w:before="76"/>
      </w:pPr>
    </w:p>
    <w:p>
      <w:pPr>
        <w:pStyle w:val="Heading1"/>
        <w:spacing w:line="276" w:lineRule="auto"/>
      </w:pPr>
      <w:r>
        <w:rPr/>
        <w:t>Autistic</w:t>
      </w:r>
      <w:r>
        <w:rPr>
          <w:spacing w:val="-5"/>
        </w:rPr>
        <w:t> </w:t>
      </w:r>
      <w:r>
        <w:rPr/>
        <w:t>Self</w:t>
      </w:r>
      <w:r>
        <w:rPr>
          <w:spacing w:val="-5"/>
        </w:rPr>
        <w:t> </w:t>
      </w:r>
      <w:r>
        <w:rPr/>
        <w:t>Advocacy</w:t>
      </w:r>
      <w:r>
        <w:rPr>
          <w:spacing w:val="-5"/>
        </w:rPr>
        <w:t> </w:t>
      </w:r>
      <w:r>
        <w:rPr/>
        <w:t>Network</w:t>
      </w:r>
      <w:r>
        <w:rPr>
          <w:spacing w:val="-5"/>
        </w:rPr>
        <w:t> </w:t>
      </w:r>
      <w:r>
        <w:rPr/>
        <w:t>Re:</w:t>
      </w:r>
      <w:r>
        <w:rPr>
          <w:spacing w:val="-5"/>
        </w:rPr>
        <w:t> </w:t>
      </w:r>
      <w:r>
        <w:rPr/>
        <w:t>FDA-2025-P-4153-0001,</w:t>
      </w:r>
      <w:r>
        <w:rPr>
          <w:spacing w:val="-5"/>
        </w:rPr>
        <w:t> </w:t>
      </w:r>
      <w:r>
        <w:rPr/>
        <w:t>Citizen</w:t>
      </w:r>
      <w:r>
        <w:rPr>
          <w:spacing w:val="-5"/>
        </w:rPr>
        <w:t> </w:t>
      </w:r>
      <w:r>
        <w:rPr/>
        <w:t>Petition</w:t>
      </w:r>
      <w:r>
        <w:rPr>
          <w:spacing w:val="-5"/>
        </w:rPr>
        <w:t> </w:t>
      </w:r>
      <w:r>
        <w:rPr/>
        <w:t>from Siri &amp; Glimstad LLP on behalf of Informed Consent Action Network</w:t>
      </w:r>
    </w:p>
    <w:p>
      <w:pPr>
        <w:pStyle w:val="BodyText"/>
        <w:spacing w:before="15"/>
        <w:rPr>
          <w:b/>
          <w:sz w:val="24"/>
        </w:rPr>
      </w:pPr>
    </w:p>
    <w:p>
      <w:pPr>
        <w:pStyle w:val="BodyText"/>
        <w:spacing w:line="276" w:lineRule="auto"/>
        <w:ind w:right="101" w:firstLine="720"/>
      </w:pPr>
      <w:r>
        <w:rPr/>
        <w:t>The Autistic Self Advocacy Network (ASAN) appreciates the opportunity to provide information to the Food and Drug Administration (FDA) regarding a petition submitted by the Informed Consent Action Network proposing labelling changes to acetaminophen-containing drug</w:t>
      </w:r>
      <w:r>
        <w:rPr>
          <w:spacing w:val="-4"/>
        </w:rPr>
        <w:t> </w:t>
      </w:r>
      <w:r>
        <w:rPr/>
        <w:t>products.</w:t>
      </w:r>
      <w:r>
        <w:rPr>
          <w:spacing w:val="-4"/>
        </w:rPr>
        <w:t> </w:t>
      </w:r>
      <w:r>
        <w:rPr/>
        <w:t>ASAN</w:t>
      </w:r>
      <w:r>
        <w:rPr>
          <w:spacing w:val="-4"/>
        </w:rPr>
        <w:t> </w:t>
      </w:r>
      <w:r>
        <w:rPr/>
        <w:t>is</w:t>
      </w:r>
      <w:r>
        <w:rPr>
          <w:spacing w:val="-4"/>
        </w:rPr>
        <w:t> </w:t>
      </w:r>
      <w:r>
        <w:rPr/>
        <w:t>a</w:t>
      </w:r>
      <w:r>
        <w:rPr>
          <w:spacing w:val="-4"/>
        </w:rPr>
        <w:t> </w:t>
      </w:r>
      <w:r>
        <w:rPr/>
        <w:t>501(c)(3)</w:t>
      </w:r>
      <w:r>
        <w:rPr>
          <w:spacing w:val="-4"/>
        </w:rPr>
        <w:t> </w:t>
      </w:r>
      <w:r>
        <w:rPr/>
        <w:t>nonprofit</w:t>
      </w:r>
      <w:r>
        <w:rPr>
          <w:spacing w:val="-4"/>
        </w:rPr>
        <w:t> </w:t>
      </w:r>
      <w:r>
        <w:rPr/>
        <w:t>disability</w:t>
      </w:r>
      <w:r>
        <w:rPr>
          <w:spacing w:val="-4"/>
        </w:rPr>
        <w:t> </w:t>
      </w:r>
      <w:r>
        <w:rPr/>
        <w:t>rights</w:t>
      </w:r>
      <w:r>
        <w:rPr>
          <w:spacing w:val="-4"/>
        </w:rPr>
        <w:t> </w:t>
      </w:r>
      <w:r>
        <w:rPr/>
        <w:t>advocacy</w:t>
      </w:r>
      <w:r>
        <w:rPr>
          <w:spacing w:val="-4"/>
        </w:rPr>
        <w:t> </w:t>
      </w:r>
      <w:r>
        <w:rPr/>
        <w:t>organization</w:t>
      </w:r>
      <w:r>
        <w:rPr>
          <w:spacing w:val="-4"/>
        </w:rPr>
        <w:t> </w:t>
      </w:r>
      <w:r>
        <w:rPr/>
        <w:t>created</w:t>
      </w:r>
      <w:r>
        <w:rPr>
          <w:spacing w:val="-4"/>
        </w:rPr>
        <w:t> </w:t>
      </w:r>
      <w:r>
        <w:rPr/>
        <w:t>by and for autistic people ourselves. ASAN is writing to </w:t>
      </w:r>
      <w:r>
        <w:rPr>
          <w:b/>
        </w:rPr>
        <w:t>oppose the petition </w:t>
      </w:r>
      <w:r>
        <w:rPr/>
        <w:t>to add a warning regarding acetaminophen-containing drug products that would state that the use of said products has potential risks on fetal neurodevelopment, including an increased risk of autism spectrum disorder (“ASD”).</w:t>
      </w:r>
    </w:p>
    <w:p>
      <w:pPr>
        <w:pStyle w:val="BodyText"/>
        <w:spacing w:before="107"/>
      </w:pPr>
    </w:p>
    <w:p>
      <w:pPr>
        <w:pStyle w:val="BodyText"/>
        <w:spacing w:line="276" w:lineRule="auto"/>
        <w:ind w:firstLine="720"/>
      </w:pPr>
      <w:r>
        <w:rPr/>
        <w:t>Multiple reputable studies</w:t>
      </w:r>
      <w:r>
        <w:rPr>
          <w:vertAlign w:val="superscript"/>
        </w:rPr>
        <w:t>1</w:t>
      </w:r>
      <w:r>
        <w:rPr>
          <w:vertAlign w:val="baseline"/>
        </w:rPr>
        <w:t> have demonstrated that there is no link between acetaminophen and autism, and have found that previous associations can be attributed to confounding variables, most notably uncontrolled genetic factors which mediate both acetaminophen use and child neurodevelopment. Research has additionally shown that autism is</w:t>
      </w:r>
      <w:r>
        <w:rPr>
          <w:spacing w:val="-4"/>
          <w:vertAlign w:val="baseline"/>
        </w:rPr>
        <w:t> </w:t>
      </w:r>
      <w:r>
        <w:rPr>
          <w:vertAlign w:val="baseline"/>
        </w:rPr>
        <w:t>overwhelmingly</w:t>
      </w:r>
      <w:r>
        <w:rPr>
          <w:vertAlign w:val="superscript"/>
        </w:rPr>
        <w:t>2</w:t>
      </w:r>
      <w:r>
        <w:rPr>
          <w:spacing w:val="-4"/>
          <w:vertAlign w:val="baseline"/>
        </w:rPr>
        <w:t> </w:t>
      </w:r>
      <w:r>
        <w:rPr>
          <w:vertAlign w:val="baseline"/>
        </w:rPr>
        <w:t>caused</w:t>
      </w:r>
      <w:r>
        <w:rPr>
          <w:spacing w:val="-4"/>
          <w:vertAlign w:val="baseline"/>
        </w:rPr>
        <w:t> </w:t>
      </w:r>
      <w:r>
        <w:rPr>
          <w:vertAlign w:val="baseline"/>
        </w:rPr>
        <w:t>by</w:t>
      </w:r>
      <w:r>
        <w:rPr>
          <w:spacing w:val="-4"/>
          <w:vertAlign w:val="baseline"/>
        </w:rPr>
        <w:t> </w:t>
      </w:r>
      <w:r>
        <w:rPr>
          <w:vertAlign w:val="baseline"/>
        </w:rPr>
        <w:t>genetics,</w:t>
      </w:r>
      <w:r>
        <w:rPr>
          <w:spacing w:val="-4"/>
          <w:vertAlign w:val="baseline"/>
        </w:rPr>
        <w:t> </w:t>
      </w:r>
      <w:r>
        <w:rPr>
          <w:vertAlign w:val="baseline"/>
        </w:rPr>
        <w:t>and</w:t>
      </w:r>
      <w:r>
        <w:rPr>
          <w:spacing w:val="-4"/>
          <w:vertAlign w:val="baseline"/>
        </w:rPr>
        <w:t> </w:t>
      </w:r>
      <w:r>
        <w:rPr>
          <w:vertAlign w:val="baseline"/>
        </w:rPr>
        <w:t>with</w:t>
      </w:r>
      <w:r>
        <w:rPr>
          <w:spacing w:val="-4"/>
          <w:vertAlign w:val="baseline"/>
        </w:rPr>
        <w:t> </w:t>
      </w:r>
      <w:r>
        <w:rPr>
          <w:vertAlign w:val="baseline"/>
        </w:rPr>
        <w:t>hundreds</w:t>
      </w:r>
      <w:r>
        <w:rPr>
          <w:spacing w:val="-4"/>
          <w:vertAlign w:val="baseline"/>
        </w:rPr>
        <w:t> </w:t>
      </w:r>
      <w:r>
        <w:rPr>
          <w:vertAlign w:val="baseline"/>
        </w:rPr>
        <w:t>of</w:t>
      </w:r>
      <w:r>
        <w:rPr>
          <w:spacing w:val="-4"/>
          <w:vertAlign w:val="baseline"/>
        </w:rPr>
        <w:t> </w:t>
      </w:r>
      <w:r>
        <w:rPr>
          <w:vertAlign w:val="baseline"/>
        </w:rPr>
        <w:t>genes</w:t>
      </w:r>
      <w:r>
        <w:rPr>
          <w:spacing w:val="-4"/>
          <w:vertAlign w:val="baseline"/>
        </w:rPr>
        <w:t> </w:t>
      </w:r>
      <w:r>
        <w:rPr>
          <w:vertAlign w:val="baseline"/>
        </w:rPr>
        <w:t>associated</w:t>
      </w:r>
      <w:r>
        <w:rPr>
          <w:spacing w:val="-4"/>
          <w:vertAlign w:val="baseline"/>
        </w:rPr>
        <w:t> </w:t>
      </w:r>
      <w:r>
        <w:rPr>
          <w:vertAlign w:val="baseline"/>
        </w:rPr>
        <w:t>with</w:t>
      </w:r>
      <w:r>
        <w:rPr>
          <w:spacing w:val="-4"/>
          <w:vertAlign w:val="baseline"/>
        </w:rPr>
        <w:t> </w:t>
      </w:r>
      <w:r>
        <w:rPr>
          <w:vertAlign w:val="baseline"/>
        </w:rPr>
        <w:t>autism,</w:t>
      </w:r>
      <w:r>
        <w:rPr>
          <w:spacing w:val="-4"/>
          <w:vertAlign w:val="baseline"/>
        </w:rPr>
        <w:t> </w:t>
      </w:r>
      <w:r>
        <w:rPr>
          <w:vertAlign w:val="baseline"/>
        </w:rPr>
        <w:t>it</w:t>
      </w:r>
      <w:r>
        <w:rPr>
          <w:spacing w:val="-4"/>
          <w:vertAlign w:val="baseline"/>
        </w:rPr>
        <w:t> </w:t>
      </w:r>
      <w:r>
        <w:rPr>
          <w:vertAlign w:val="baseline"/>
        </w:rPr>
        <w:t>is highly unlikely that a single drug could cause autism. Similarly, ample evidence exists that genetic factors for autism and other neurodevelopmental disabilities are themselves associated with a higher incidence of maternal migraine and other pregnancy pain– the very conditions for which analgesia is medically indicated</w:t>
      </w:r>
      <w:r>
        <w:rPr>
          <w:vertAlign w:val="superscript"/>
        </w:rPr>
        <w:t>3</w:t>
      </w:r>
      <w:r>
        <w:rPr>
          <w:vertAlign w:val="baseline"/>
        </w:rPr>
        <w:t>. The lack of reputable data to support the claims being</w:t>
      </w:r>
    </w:p>
    <w:p>
      <w:pPr>
        <w:pStyle w:val="BodyText"/>
        <w:spacing w:before="2"/>
        <w:rPr>
          <w:sz w:val="8"/>
        </w:rPr>
      </w:pPr>
      <w:r>
        <w:rPr>
          <w:sz w:val="8"/>
        </w:rPr>
        <mc:AlternateContent>
          <mc:Choice Requires="wps">
            <w:drawing>
              <wp:anchor distT="0" distB="0" distL="0" distR="0" allowOverlap="1" layoutInCell="1" locked="0" behindDoc="1" simplePos="0" relativeHeight="487587840">
                <wp:simplePos x="0" y="0"/>
                <wp:positionH relativeFrom="page">
                  <wp:posOffset>914400</wp:posOffset>
                </wp:positionH>
                <wp:positionV relativeFrom="paragraph">
                  <wp:posOffset>75451</wp:posOffset>
                </wp:positionV>
                <wp:extent cx="1828800" cy="127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1828800" cy="1270"/>
                        </a:xfrm>
                        <a:custGeom>
                          <a:avLst/>
                          <a:gdLst/>
                          <a:ahLst/>
                          <a:cxnLst/>
                          <a:rect l="l" t="t" r="r" b="b"/>
                          <a:pathLst>
                            <a:path w="1828800" h="0">
                              <a:moveTo>
                                <a:pt x="0" y="0"/>
                              </a:moveTo>
                              <a:lnTo>
                                <a:pt x="1828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5.941059pt;width:144pt;height:.1pt;mso-position-horizontal-relative:page;mso-position-vertical-relative:paragraph;z-index:-15728640;mso-wrap-distance-left:0;mso-wrap-distance-right:0" id="docshape1" coordorigin="1440,119" coordsize="2880,0" path="m1440,119l4320,119e" filled="false" stroked="true" strokeweight=".75pt" strokecolor="#000000">
                <v:path arrowok="t"/>
                <v:stroke dashstyle="solid"/>
                <w10:wrap type="topAndBottom"/>
              </v:shape>
            </w:pict>
          </mc:Fallback>
        </mc:AlternateContent>
      </w:r>
    </w:p>
    <w:p>
      <w:pPr>
        <w:spacing w:before="98"/>
        <w:ind w:left="0" w:right="101" w:firstLine="0"/>
        <w:jc w:val="left"/>
        <w:rPr>
          <w:sz w:val="20"/>
        </w:rPr>
      </w:pPr>
      <w:r>
        <w:rPr>
          <w:sz w:val="20"/>
          <w:vertAlign w:val="superscript"/>
        </w:rPr>
        <w:t>1</w:t>
      </w:r>
      <w:r>
        <w:rPr>
          <w:sz w:val="20"/>
          <w:vertAlign w:val="baseline"/>
        </w:rPr>
        <w:t> </w:t>
      </w:r>
      <w:r>
        <w:rPr>
          <w:i/>
          <w:sz w:val="20"/>
          <w:vertAlign w:val="baseline"/>
        </w:rPr>
        <w:t>See</w:t>
      </w:r>
      <w:r>
        <w:rPr>
          <w:sz w:val="20"/>
          <w:vertAlign w:val="baseline"/>
        </w:rPr>
        <w:t>, Ahlqvist VH, Sjöqvist H, Dalman C, et al. </w:t>
      </w:r>
      <w:r>
        <w:rPr>
          <w:i/>
          <w:sz w:val="20"/>
          <w:vertAlign w:val="baseline"/>
        </w:rPr>
        <w:t>Acetaminophen Use During Pregnancy and Children’s</w:t>
      </w:r>
      <w:r>
        <w:rPr>
          <w:i/>
          <w:sz w:val="20"/>
          <w:vertAlign w:val="baseline"/>
        </w:rPr>
        <w:t> Risk of Autism, ADHD, and Intellectual Disability. </w:t>
      </w:r>
      <w:r>
        <w:rPr>
          <w:sz w:val="20"/>
          <w:vertAlign w:val="baseline"/>
        </w:rPr>
        <w:t>JAMA. 2024;331(14):1205–1214. doi:10.1001/jama.2024.3172. </w:t>
      </w:r>
      <w:hyperlink r:id="rId6">
        <w:r>
          <w:rPr>
            <w:sz w:val="20"/>
            <w:u w:val="thick"/>
            <w:vertAlign w:val="baseline"/>
          </w:rPr>
          <w:t>https://jamanetwork.com/journals/jama/fullarticle/2817406</w:t>
        </w:r>
      </w:hyperlink>
      <w:r>
        <w:rPr>
          <w:sz w:val="20"/>
          <w:u w:val="none"/>
          <w:vertAlign w:val="baseline"/>
        </w:rPr>
        <w:t>. </w:t>
      </w:r>
      <w:r>
        <w:rPr>
          <w:i/>
          <w:sz w:val="20"/>
          <w:u w:val="none"/>
          <w:vertAlign w:val="baseline"/>
        </w:rPr>
        <w:t>See also,</w:t>
      </w:r>
      <w:r>
        <w:rPr>
          <w:i/>
          <w:sz w:val="20"/>
          <w:u w:val="none"/>
          <w:vertAlign w:val="baseline"/>
        </w:rPr>
        <w:t> </w:t>
      </w:r>
      <w:r>
        <w:rPr>
          <w:sz w:val="20"/>
          <w:u w:val="none"/>
          <w:vertAlign w:val="baseline"/>
        </w:rPr>
        <w:t>Bérard,</w:t>
      </w:r>
      <w:r>
        <w:rPr>
          <w:spacing w:val="-4"/>
          <w:sz w:val="20"/>
          <w:u w:val="none"/>
          <w:vertAlign w:val="baseline"/>
        </w:rPr>
        <w:t> </w:t>
      </w:r>
      <w:r>
        <w:rPr>
          <w:sz w:val="20"/>
          <w:u w:val="none"/>
          <w:vertAlign w:val="baseline"/>
        </w:rPr>
        <w:t>Anick</w:t>
      </w:r>
      <w:r>
        <w:rPr>
          <w:spacing w:val="-4"/>
          <w:sz w:val="20"/>
          <w:u w:val="none"/>
          <w:vertAlign w:val="baseline"/>
        </w:rPr>
        <w:t> </w:t>
      </w:r>
      <w:r>
        <w:rPr>
          <w:sz w:val="20"/>
          <w:u w:val="none"/>
          <w:vertAlign w:val="baseline"/>
        </w:rPr>
        <w:t>et</w:t>
      </w:r>
      <w:r>
        <w:rPr>
          <w:spacing w:val="-4"/>
          <w:sz w:val="20"/>
          <w:u w:val="none"/>
          <w:vertAlign w:val="baseline"/>
        </w:rPr>
        <w:t> </w:t>
      </w:r>
      <w:r>
        <w:rPr>
          <w:sz w:val="20"/>
          <w:u w:val="none"/>
          <w:vertAlign w:val="baseline"/>
        </w:rPr>
        <w:t>al.</w:t>
      </w:r>
      <w:r>
        <w:rPr>
          <w:spacing w:val="-4"/>
          <w:sz w:val="20"/>
          <w:u w:val="none"/>
          <w:vertAlign w:val="baseline"/>
        </w:rPr>
        <w:t> </w:t>
      </w:r>
      <w:r>
        <w:rPr>
          <w:i/>
          <w:sz w:val="20"/>
          <w:u w:val="none"/>
          <w:vertAlign w:val="baseline"/>
        </w:rPr>
        <w:t>Systematic</w:t>
      </w:r>
      <w:r>
        <w:rPr>
          <w:i/>
          <w:spacing w:val="-4"/>
          <w:sz w:val="20"/>
          <w:u w:val="none"/>
          <w:vertAlign w:val="baseline"/>
        </w:rPr>
        <w:t> </w:t>
      </w:r>
      <w:r>
        <w:rPr>
          <w:i/>
          <w:sz w:val="20"/>
          <w:u w:val="none"/>
          <w:vertAlign w:val="baseline"/>
        </w:rPr>
        <w:t>Review</w:t>
      </w:r>
      <w:r>
        <w:rPr>
          <w:i/>
          <w:spacing w:val="-4"/>
          <w:sz w:val="20"/>
          <w:u w:val="none"/>
          <w:vertAlign w:val="baseline"/>
        </w:rPr>
        <w:t> </w:t>
      </w:r>
      <w:r>
        <w:rPr>
          <w:i/>
          <w:sz w:val="20"/>
          <w:u w:val="none"/>
          <w:vertAlign w:val="baseline"/>
        </w:rPr>
        <w:t>and</w:t>
      </w:r>
      <w:r>
        <w:rPr>
          <w:i/>
          <w:spacing w:val="-4"/>
          <w:sz w:val="20"/>
          <w:u w:val="none"/>
          <w:vertAlign w:val="baseline"/>
        </w:rPr>
        <w:t> </w:t>
      </w:r>
      <w:r>
        <w:rPr>
          <w:i/>
          <w:sz w:val="20"/>
          <w:u w:val="none"/>
          <w:vertAlign w:val="baseline"/>
        </w:rPr>
        <w:t>Meta-Analysis:</w:t>
      </w:r>
      <w:r>
        <w:rPr>
          <w:i/>
          <w:spacing w:val="-4"/>
          <w:sz w:val="20"/>
          <w:u w:val="none"/>
          <w:vertAlign w:val="baseline"/>
        </w:rPr>
        <w:t> </w:t>
      </w:r>
      <w:r>
        <w:rPr>
          <w:i/>
          <w:sz w:val="20"/>
          <w:u w:val="none"/>
          <w:vertAlign w:val="baseline"/>
        </w:rPr>
        <w:t>Acetaminophen</w:t>
      </w:r>
      <w:r>
        <w:rPr>
          <w:i/>
          <w:spacing w:val="-4"/>
          <w:sz w:val="20"/>
          <w:u w:val="none"/>
          <w:vertAlign w:val="baseline"/>
        </w:rPr>
        <w:t> </w:t>
      </w:r>
      <w:r>
        <w:rPr>
          <w:i/>
          <w:sz w:val="20"/>
          <w:u w:val="none"/>
          <w:vertAlign w:val="baseline"/>
        </w:rPr>
        <w:t>Use</w:t>
      </w:r>
      <w:r>
        <w:rPr>
          <w:i/>
          <w:spacing w:val="-4"/>
          <w:sz w:val="20"/>
          <w:u w:val="none"/>
          <w:vertAlign w:val="baseline"/>
        </w:rPr>
        <w:t> </w:t>
      </w:r>
      <w:r>
        <w:rPr>
          <w:i/>
          <w:sz w:val="20"/>
          <w:u w:val="none"/>
          <w:vertAlign w:val="baseline"/>
        </w:rPr>
        <w:t>During</w:t>
      </w:r>
      <w:r>
        <w:rPr>
          <w:i/>
          <w:spacing w:val="-4"/>
          <w:sz w:val="20"/>
          <w:u w:val="none"/>
          <w:vertAlign w:val="baseline"/>
        </w:rPr>
        <w:t> </w:t>
      </w:r>
      <w:r>
        <w:rPr>
          <w:i/>
          <w:sz w:val="20"/>
          <w:u w:val="none"/>
          <w:vertAlign w:val="baseline"/>
        </w:rPr>
        <w:t>Pregnancy</w:t>
      </w:r>
      <w:r>
        <w:rPr>
          <w:i/>
          <w:spacing w:val="-4"/>
          <w:sz w:val="20"/>
          <w:u w:val="none"/>
          <w:vertAlign w:val="baseline"/>
        </w:rPr>
        <w:t> </w:t>
      </w:r>
      <w:r>
        <w:rPr>
          <w:i/>
          <w:sz w:val="20"/>
          <w:u w:val="none"/>
          <w:vertAlign w:val="baseline"/>
        </w:rPr>
        <w:t>and</w:t>
      </w:r>
      <w:r>
        <w:rPr>
          <w:i/>
          <w:sz w:val="20"/>
          <w:u w:val="none"/>
          <w:vertAlign w:val="baseline"/>
        </w:rPr>
        <w:t> the Risk of Neurodevelopmental Disorders in Childhood. </w:t>
      </w:r>
      <w:r>
        <w:rPr>
          <w:sz w:val="20"/>
          <w:u w:val="none"/>
          <w:vertAlign w:val="baseline"/>
        </w:rPr>
        <w:t>Journal of the American Academy of Child &amp; Adolescent Psychiatry, Volume 0, Issue 0 (2025.</w:t>
      </w:r>
    </w:p>
    <w:p>
      <w:pPr>
        <w:spacing w:before="0"/>
        <w:ind w:left="0" w:right="0" w:firstLine="0"/>
        <w:jc w:val="left"/>
        <w:rPr>
          <w:sz w:val="20"/>
        </w:rPr>
      </w:pPr>
      <w:hyperlink r:id="rId7">
        <w:r>
          <w:rPr>
            <w:spacing w:val="-2"/>
            <w:sz w:val="20"/>
            <w:u w:val="thick"/>
          </w:rPr>
          <w:t>https://www.jaacap.org/article/S0890-8567(25)02106-9/fulltext</w:t>
        </w:r>
      </w:hyperlink>
      <w:r>
        <w:rPr>
          <w:spacing w:val="-2"/>
          <w:sz w:val="20"/>
          <w:u w:val="none"/>
        </w:rPr>
        <w:t>.</w:t>
      </w:r>
    </w:p>
    <w:p>
      <w:pPr>
        <w:spacing w:before="0"/>
        <w:ind w:left="0" w:right="0" w:firstLine="0"/>
        <w:jc w:val="left"/>
        <w:rPr>
          <w:sz w:val="20"/>
        </w:rPr>
      </w:pPr>
      <w:r>
        <w:rPr>
          <w:sz w:val="20"/>
          <w:vertAlign w:val="superscript"/>
        </w:rPr>
        <w:t>2</w:t>
      </w:r>
      <w:r>
        <w:rPr>
          <w:spacing w:val="-5"/>
          <w:sz w:val="20"/>
          <w:vertAlign w:val="baseline"/>
        </w:rPr>
        <w:t> </w:t>
      </w:r>
      <w:r>
        <w:rPr>
          <w:sz w:val="20"/>
          <w:vertAlign w:val="baseline"/>
        </w:rPr>
        <w:t>Tick</w:t>
      </w:r>
      <w:r>
        <w:rPr>
          <w:spacing w:val="-5"/>
          <w:sz w:val="20"/>
          <w:vertAlign w:val="baseline"/>
        </w:rPr>
        <w:t> </w:t>
      </w:r>
      <w:r>
        <w:rPr>
          <w:sz w:val="20"/>
          <w:vertAlign w:val="baseline"/>
        </w:rPr>
        <w:t>B,</w:t>
      </w:r>
      <w:r>
        <w:rPr>
          <w:spacing w:val="-5"/>
          <w:sz w:val="20"/>
          <w:vertAlign w:val="baseline"/>
        </w:rPr>
        <w:t> </w:t>
      </w:r>
      <w:r>
        <w:rPr>
          <w:sz w:val="20"/>
          <w:vertAlign w:val="baseline"/>
        </w:rPr>
        <w:t>Bolton</w:t>
      </w:r>
      <w:r>
        <w:rPr>
          <w:spacing w:val="-5"/>
          <w:sz w:val="20"/>
          <w:vertAlign w:val="baseline"/>
        </w:rPr>
        <w:t> </w:t>
      </w:r>
      <w:r>
        <w:rPr>
          <w:sz w:val="20"/>
          <w:vertAlign w:val="baseline"/>
        </w:rPr>
        <w:t>P,</w:t>
      </w:r>
      <w:r>
        <w:rPr>
          <w:spacing w:val="-5"/>
          <w:sz w:val="20"/>
          <w:vertAlign w:val="baseline"/>
        </w:rPr>
        <w:t> </w:t>
      </w:r>
      <w:r>
        <w:rPr>
          <w:sz w:val="20"/>
          <w:vertAlign w:val="baseline"/>
        </w:rPr>
        <w:t>et</w:t>
      </w:r>
      <w:r>
        <w:rPr>
          <w:spacing w:val="-5"/>
          <w:sz w:val="20"/>
          <w:vertAlign w:val="baseline"/>
        </w:rPr>
        <w:t> </w:t>
      </w:r>
      <w:r>
        <w:rPr>
          <w:sz w:val="20"/>
          <w:vertAlign w:val="baseline"/>
        </w:rPr>
        <w:t>al.</w:t>
      </w:r>
      <w:r>
        <w:rPr>
          <w:spacing w:val="-5"/>
          <w:sz w:val="20"/>
          <w:vertAlign w:val="baseline"/>
        </w:rPr>
        <w:t> </w:t>
      </w:r>
      <w:r>
        <w:rPr>
          <w:i/>
          <w:sz w:val="20"/>
          <w:vertAlign w:val="baseline"/>
        </w:rPr>
        <w:t>Heritability</w:t>
      </w:r>
      <w:r>
        <w:rPr>
          <w:i/>
          <w:spacing w:val="-5"/>
          <w:sz w:val="20"/>
          <w:vertAlign w:val="baseline"/>
        </w:rPr>
        <w:t> </w:t>
      </w:r>
      <w:r>
        <w:rPr>
          <w:i/>
          <w:sz w:val="20"/>
          <w:vertAlign w:val="baseline"/>
        </w:rPr>
        <w:t>of</w:t>
      </w:r>
      <w:r>
        <w:rPr>
          <w:i/>
          <w:spacing w:val="-5"/>
          <w:sz w:val="20"/>
          <w:vertAlign w:val="baseline"/>
        </w:rPr>
        <w:t> </w:t>
      </w:r>
      <w:r>
        <w:rPr>
          <w:i/>
          <w:sz w:val="20"/>
          <w:vertAlign w:val="baseline"/>
        </w:rPr>
        <w:t>autism</w:t>
      </w:r>
      <w:r>
        <w:rPr>
          <w:i/>
          <w:spacing w:val="-5"/>
          <w:sz w:val="20"/>
          <w:vertAlign w:val="baseline"/>
        </w:rPr>
        <w:t> </w:t>
      </w:r>
      <w:r>
        <w:rPr>
          <w:i/>
          <w:sz w:val="20"/>
          <w:vertAlign w:val="baseline"/>
        </w:rPr>
        <w:t>spectrum</w:t>
      </w:r>
      <w:r>
        <w:rPr>
          <w:i/>
          <w:spacing w:val="-5"/>
          <w:sz w:val="20"/>
          <w:vertAlign w:val="baseline"/>
        </w:rPr>
        <w:t> </w:t>
      </w:r>
      <w:r>
        <w:rPr>
          <w:i/>
          <w:sz w:val="20"/>
          <w:vertAlign w:val="baseline"/>
        </w:rPr>
        <w:t>disorders:</w:t>
      </w:r>
      <w:r>
        <w:rPr>
          <w:i/>
          <w:spacing w:val="-5"/>
          <w:sz w:val="20"/>
          <w:vertAlign w:val="baseline"/>
        </w:rPr>
        <w:t> </w:t>
      </w:r>
      <w:r>
        <w:rPr>
          <w:i/>
          <w:sz w:val="20"/>
          <w:vertAlign w:val="baseline"/>
        </w:rPr>
        <w:t>a</w:t>
      </w:r>
      <w:r>
        <w:rPr>
          <w:i/>
          <w:spacing w:val="-5"/>
          <w:sz w:val="20"/>
          <w:vertAlign w:val="baseline"/>
        </w:rPr>
        <w:t> </w:t>
      </w:r>
      <w:r>
        <w:rPr>
          <w:i/>
          <w:sz w:val="20"/>
          <w:vertAlign w:val="baseline"/>
        </w:rPr>
        <w:t>meta-analysis</w:t>
      </w:r>
      <w:r>
        <w:rPr>
          <w:i/>
          <w:spacing w:val="-5"/>
          <w:sz w:val="20"/>
          <w:vertAlign w:val="baseline"/>
        </w:rPr>
        <w:t> </w:t>
      </w:r>
      <w:r>
        <w:rPr>
          <w:i/>
          <w:sz w:val="20"/>
          <w:vertAlign w:val="baseline"/>
        </w:rPr>
        <w:t>of</w:t>
      </w:r>
      <w:r>
        <w:rPr>
          <w:i/>
          <w:spacing w:val="-5"/>
          <w:sz w:val="20"/>
          <w:vertAlign w:val="baseline"/>
        </w:rPr>
        <w:t> </w:t>
      </w:r>
      <w:r>
        <w:rPr>
          <w:i/>
          <w:sz w:val="20"/>
          <w:vertAlign w:val="baseline"/>
        </w:rPr>
        <w:t>twin</w:t>
      </w:r>
      <w:r>
        <w:rPr>
          <w:i/>
          <w:spacing w:val="-5"/>
          <w:sz w:val="20"/>
          <w:vertAlign w:val="baseline"/>
        </w:rPr>
        <w:t> </w:t>
      </w:r>
      <w:r>
        <w:rPr>
          <w:i/>
          <w:sz w:val="20"/>
          <w:vertAlign w:val="baseline"/>
        </w:rPr>
        <w:t>studies.</w:t>
      </w:r>
      <w:r>
        <w:rPr>
          <w:i/>
          <w:spacing w:val="-5"/>
          <w:sz w:val="20"/>
          <w:vertAlign w:val="baseline"/>
        </w:rPr>
        <w:t> </w:t>
      </w:r>
      <w:r>
        <w:rPr>
          <w:sz w:val="20"/>
          <w:vertAlign w:val="baseline"/>
        </w:rPr>
        <w:t>J</w:t>
      </w:r>
      <w:r>
        <w:rPr>
          <w:spacing w:val="-5"/>
          <w:sz w:val="20"/>
          <w:vertAlign w:val="baseline"/>
        </w:rPr>
        <w:t> </w:t>
      </w:r>
      <w:r>
        <w:rPr>
          <w:sz w:val="20"/>
          <w:vertAlign w:val="baseline"/>
        </w:rPr>
        <w:t>Child Psychol Psychiatry. 2016 May;57(5):585-95. doi: 10.1111/jcpp.12499. Epub 2015 Dec 27. PMID: 26709141; PMCID: PMC4996332. </w:t>
      </w:r>
      <w:hyperlink r:id="rId8">
        <w:r>
          <w:rPr>
            <w:sz w:val="20"/>
            <w:u w:val="thick"/>
            <w:vertAlign w:val="baseline"/>
          </w:rPr>
          <w:t>https://pubmed.ncbi.nlm.nih.gov/26709141/</w:t>
        </w:r>
      </w:hyperlink>
    </w:p>
    <w:p>
      <w:pPr>
        <w:spacing w:before="0"/>
        <w:ind w:left="0" w:right="101" w:firstLine="0"/>
        <w:jc w:val="left"/>
        <w:rPr>
          <w:sz w:val="20"/>
        </w:rPr>
      </w:pPr>
      <w:r>
        <w:rPr>
          <w:sz w:val="20"/>
          <w:vertAlign w:val="superscript"/>
        </w:rPr>
        <w:t>3</w:t>
      </w:r>
      <w:r>
        <w:rPr>
          <w:sz w:val="20"/>
          <w:vertAlign w:val="baseline"/>
        </w:rPr>
        <w:t> </w:t>
      </w:r>
      <w:r>
        <w:rPr>
          <w:i/>
          <w:sz w:val="20"/>
          <w:vertAlign w:val="baseline"/>
        </w:rPr>
        <w:t>See </w:t>
      </w:r>
      <w:r>
        <w:rPr>
          <w:sz w:val="20"/>
          <w:vertAlign w:val="baseline"/>
        </w:rPr>
        <w:t>Havdahl A, et. al. </w:t>
      </w:r>
      <w:r>
        <w:rPr>
          <w:i/>
          <w:sz w:val="20"/>
          <w:vertAlign w:val="baseline"/>
        </w:rPr>
        <w:t>Associations Between Pregnancy-Related Predisposing Factors for Offspring</w:t>
      </w:r>
      <w:r>
        <w:rPr>
          <w:i/>
          <w:sz w:val="20"/>
          <w:vertAlign w:val="baseline"/>
        </w:rPr>
        <w:t> Neurodevelopmental</w:t>
      </w:r>
      <w:r>
        <w:rPr>
          <w:i/>
          <w:spacing w:val="-7"/>
          <w:sz w:val="20"/>
          <w:vertAlign w:val="baseline"/>
        </w:rPr>
        <w:t> </w:t>
      </w:r>
      <w:r>
        <w:rPr>
          <w:i/>
          <w:sz w:val="20"/>
          <w:vertAlign w:val="baseline"/>
        </w:rPr>
        <w:t>Conditions</w:t>
      </w:r>
      <w:r>
        <w:rPr>
          <w:i/>
          <w:spacing w:val="-7"/>
          <w:sz w:val="20"/>
          <w:vertAlign w:val="baseline"/>
        </w:rPr>
        <w:t> </w:t>
      </w:r>
      <w:r>
        <w:rPr>
          <w:i/>
          <w:sz w:val="20"/>
          <w:vertAlign w:val="baseline"/>
        </w:rPr>
        <w:t>and</w:t>
      </w:r>
      <w:r>
        <w:rPr>
          <w:i/>
          <w:spacing w:val="-7"/>
          <w:sz w:val="20"/>
          <w:vertAlign w:val="baseline"/>
        </w:rPr>
        <w:t> </w:t>
      </w:r>
      <w:r>
        <w:rPr>
          <w:i/>
          <w:sz w:val="20"/>
          <w:vertAlign w:val="baseline"/>
        </w:rPr>
        <w:t>Parental</w:t>
      </w:r>
      <w:r>
        <w:rPr>
          <w:i/>
          <w:spacing w:val="-7"/>
          <w:sz w:val="20"/>
          <w:vertAlign w:val="baseline"/>
        </w:rPr>
        <w:t> </w:t>
      </w:r>
      <w:r>
        <w:rPr>
          <w:i/>
          <w:sz w:val="20"/>
          <w:vertAlign w:val="baseline"/>
        </w:rPr>
        <w:t>Genetic</w:t>
      </w:r>
      <w:r>
        <w:rPr>
          <w:i/>
          <w:spacing w:val="-7"/>
          <w:sz w:val="20"/>
          <w:vertAlign w:val="baseline"/>
        </w:rPr>
        <w:t> </w:t>
      </w:r>
      <w:r>
        <w:rPr>
          <w:i/>
          <w:sz w:val="20"/>
          <w:vertAlign w:val="baseline"/>
        </w:rPr>
        <w:t>Liability</w:t>
      </w:r>
      <w:r>
        <w:rPr>
          <w:i/>
          <w:spacing w:val="-7"/>
          <w:sz w:val="20"/>
          <w:vertAlign w:val="baseline"/>
        </w:rPr>
        <w:t> </w:t>
      </w:r>
      <w:r>
        <w:rPr>
          <w:i/>
          <w:sz w:val="20"/>
          <w:vertAlign w:val="baseline"/>
        </w:rPr>
        <w:t>to</w:t>
      </w:r>
      <w:r>
        <w:rPr>
          <w:i/>
          <w:spacing w:val="-7"/>
          <w:sz w:val="20"/>
          <w:vertAlign w:val="baseline"/>
        </w:rPr>
        <w:t> </w:t>
      </w:r>
      <w:r>
        <w:rPr>
          <w:i/>
          <w:sz w:val="20"/>
          <w:vertAlign w:val="baseline"/>
        </w:rPr>
        <w:t>Attention-Deficit/Hyperactivity</w:t>
      </w:r>
      <w:r>
        <w:rPr>
          <w:i/>
          <w:spacing w:val="-7"/>
          <w:sz w:val="20"/>
          <w:vertAlign w:val="baseline"/>
        </w:rPr>
        <w:t> </w:t>
      </w:r>
      <w:r>
        <w:rPr>
          <w:i/>
          <w:sz w:val="20"/>
          <w:vertAlign w:val="baseline"/>
        </w:rPr>
        <w:t>Disorder, Autism, and Schizophrenia: The Norwegian Mother, Father and Child Cohort Study (MoBa)</w:t>
      </w:r>
      <w:r>
        <w:rPr>
          <w:sz w:val="20"/>
          <w:vertAlign w:val="baseline"/>
        </w:rPr>
        <w:t>. JAMA Psychiatry. 2022 Aug 1;79(8):799-810. doi: 10.1001/jamapsychiatry.2022.1728. PMID: 35793100; PMCID: PMC9260642.</w:t>
      </w:r>
    </w:p>
    <w:p>
      <w:pPr>
        <w:spacing w:after="0"/>
        <w:jc w:val="left"/>
        <w:rPr>
          <w:sz w:val="20"/>
        </w:rPr>
        <w:sectPr>
          <w:headerReference w:type="default" r:id="rId5"/>
          <w:type w:val="continuous"/>
          <w:pgSz w:w="12240" w:h="15840"/>
          <w:pgMar w:header="462" w:footer="0" w:top="1960" w:bottom="280" w:left="1440" w:right="1440"/>
          <w:pgNumType w:start="1"/>
        </w:sectPr>
      </w:pPr>
    </w:p>
    <w:p>
      <w:pPr>
        <w:pStyle w:val="BodyText"/>
        <w:spacing w:line="276" w:lineRule="auto" w:before="203"/>
        <w:ind w:right="21"/>
      </w:pPr>
      <w:r>
        <w:rPr/>
        <w:t>made in the petition should raise alarm bells to the FDA because of the agency’s stated commitment to scientific integrity. Labeling decisions based on cherry-picked, poorly collected, inadequately</w:t>
      </w:r>
      <w:r>
        <w:rPr>
          <w:spacing w:val="-4"/>
        </w:rPr>
        <w:t> </w:t>
      </w:r>
      <w:r>
        <w:rPr/>
        <w:t>controlled,</w:t>
      </w:r>
      <w:r>
        <w:rPr>
          <w:spacing w:val="-4"/>
        </w:rPr>
        <w:t> </w:t>
      </w:r>
      <w:r>
        <w:rPr/>
        <w:t>or</w:t>
      </w:r>
      <w:r>
        <w:rPr>
          <w:spacing w:val="-4"/>
        </w:rPr>
        <w:t> </w:t>
      </w:r>
      <w:r>
        <w:rPr/>
        <w:t>out-of-date</w:t>
      </w:r>
      <w:r>
        <w:rPr>
          <w:spacing w:val="-4"/>
        </w:rPr>
        <w:t> </w:t>
      </w:r>
      <w:r>
        <w:rPr/>
        <w:t>data</w:t>
      </w:r>
      <w:r>
        <w:rPr>
          <w:spacing w:val="-4"/>
        </w:rPr>
        <w:t> </w:t>
      </w:r>
      <w:r>
        <w:rPr/>
        <w:t>to</w:t>
      </w:r>
      <w:r>
        <w:rPr>
          <w:spacing w:val="-4"/>
        </w:rPr>
        <w:t> </w:t>
      </w:r>
      <w:r>
        <w:rPr/>
        <w:t>justify</w:t>
      </w:r>
      <w:r>
        <w:rPr>
          <w:spacing w:val="-4"/>
        </w:rPr>
        <w:t> </w:t>
      </w:r>
      <w:r>
        <w:rPr/>
        <w:t>medical</w:t>
      </w:r>
      <w:r>
        <w:rPr>
          <w:spacing w:val="-4"/>
        </w:rPr>
        <w:t> </w:t>
      </w:r>
      <w:r>
        <w:rPr/>
        <w:t>decisions</w:t>
      </w:r>
      <w:r>
        <w:rPr>
          <w:spacing w:val="-4"/>
        </w:rPr>
        <w:t> </w:t>
      </w:r>
      <w:r>
        <w:rPr/>
        <w:t>will</w:t>
      </w:r>
      <w:r>
        <w:rPr>
          <w:spacing w:val="-4"/>
        </w:rPr>
        <w:t> </w:t>
      </w:r>
      <w:r>
        <w:rPr/>
        <w:t>lead</w:t>
      </w:r>
      <w:r>
        <w:rPr>
          <w:spacing w:val="-4"/>
        </w:rPr>
        <w:t> </w:t>
      </w:r>
      <w:r>
        <w:rPr/>
        <w:t>individuals</w:t>
      </w:r>
      <w:r>
        <w:rPr>
          <w:spacing w:val="-4"/>
        </w:rPr>
        <w:t> </w:t>
      </w:r>
      <w:r>
        <w:rPr/>
        <w:t>to</w:t>
      </w:r>
      <w:r>
        <w:rPr>
          <w:spacing w:val="-4"/>
        </w:rPr>
        <w:t> </w:t>
      </w:r>
      <w:r>
        <w:rPr/>
        <w:t>be misled</w:t>
      </w:r>
      <w:r>
        <w:rPr>
          <w:spacing w:val="-1"/>
        </w:rPr>
        <w:t> </w:t>
      </w:r>
      <w:r>
        <w:rPr/>
        <w:t>by</w:t>
      </w:r>
      <w:r>
        <w:rPr>
          <w:spacing w:val="-1"/>
        </w:rPr>
        <w:t> </w:t>
      </w:r>
      <w:r>
        <w:rPr/>
        <w:t>the</w:t>
      </w:r>
      <w:r>
        <w:rPr>
          <w:spacing w:val="-1"/>
        </w:rPr>
        <w:t> </w:t>
      </w:r>
      <w:r>
        <w:rPr/>
        <w:t>FDA.</w:t>
      </w:r>
      <w:r>
        <w:rPr>
          <w:spacing w:val="-1"/>
        </w:rPr>
        <w:t> </w:t>
      </w:r>
      <w:r>
        <w:rPr/>
        <w:t>Using</w:t>
      </w:r>
      <w:r>
        <w:rPr>
          <w:spacing w:val="-1"/>
        </w:rPr>
        <w:t> </w:t>
      </w:r>
      <w:r>
        <w:rPr/>
        <w:t>such</w:t>
      </w:r>
      <w:r>
        <w:rPr>
          <w:spacing w:val="-1"/>
        </w:rPr>
        <w:t> </w:t>
      </w:r>
      <w:r>
        <w:rPr/>
        <w:t>data</w:t>
      </w:r>
      <w:r>
        <w:rPr>
          <w:spacing w:val="-1"/>
        </w:rPr>
        <w:t> </w:t>
      </w:r>
      <w:r>
        <w:rPr/>
        <w:t>to</w:t>
      </w:r>
      <w:r>
        <w:rPr>
          <w:spacing w:val="-1"/>
        </w:rPr>
        <w:t> </w:t>
      </w:r>
      <w:r>
        <w:rPr/>
        <w:t>enact</w:t>
      </w:r>
      <w:r>
        <w:rPr>
          <w:spacing w:val="-1"/>
        </w:rPr>
        <w:t> </w:t>
      </w:r>
      <w:r>
        <w:rPr/>
        <w:t>sweeping</w:t>
      </w:r>
      <w:r>
        <w:rPr>
          <w:spacing w:val="-1"/>
        </w:rPr>
        <w:t> </w:t>
      </w:r>
      <w:r>
        <w:rPr/>
        <w:t>policy</w:t>
      </w:r>
      <w:r>
        <w:rPr>
          <w:spacing w:val="-1"/>
        </w:rPr>
        <w:t> </w:t>
      </w:r>
      <w:r>
        <w:rPr/>
        <w:t>changes,</w:t>
      </w:r>
      <w:r>
        <w:rPr>
          <w:spacing w:val="-1"/>
        </w:rPr>
        <w:t> </w:t>
      </w:r>
      <w:r>
        <w:rPr/>
        <w:t>such</w:t>
      </w:r>
      <w:r>
        <w:rPr>
          <w:spacing w:val="-1"/>
        </w:rPr>
        <w:t> </w:t>
      </w:r>
      <w:r>
        <w:rPr/>
        <w:t>as</w:t>
      </w:r>
      <w:r>
        <w:rPr>
          <w:spacing w:val="-1"/>
        </w:rPr>
        <w:t> </w:t>
      </w:r>
      <w:r>
        <w:rPr/>
        <w:t>those</w:t>
      </w:r>
      <w:r>
        <w:rPr>
          <w:spacing w:val="-1"/>
        </w:rPr>
        <w:t> </w:t>
      </w:r>
      <w:r>
        <w:rPr/>
        <w:t>proposed in the petition, is dangerous and will erode public trust that the FDA is making regulatory decisions based on the best available scientific evidence. This trust is essential to the FDA’s</w:t>
      </w:r>
      <w:r>
        <w:rPr/>
        <w:t> core</w:t>
      </w:r>
      <w:r>
        <w:rPr>
          <w:spacing w:val="-4"/>
        </w:rPr>
        <w:t> </w:t>
      </w:r>
      <w:r>
        <w:rPr/>
        <w:t>mission</w:t>
      </w:r>
      <w:r>
        <w:rPr>
          <w:spacing w:val="-4"/>
        </w:rPr>
        <w:t> </w:t>
      </w:r>
      <w:r>
        <w:rPr/>
        <w:t>of</w:t>
      </w:r>
      <w:r>
        <w:rPr>
          <w:spacing w:val="-4"/>
        </w:rPr>
        <w:t> </w:t>
      </w:r>
      <w:r>
        <w:rPr/>
        <w:t>protecting</w:t>
      </w:r>
      <w:r>
        <w:rPr>
          <w:spacing w:val="-4"/>
        </w:rPr>
        <w:t> </w:t>
      </w:r>
      <w:r>
        <w:rPr/>
        <w:t>public</w:t>
      </w:r>
      <w:r>
        <w:rPr>
          <w:spacing w:val="-4"/>
        </w:rPr>
        <w:t> </w:t>
      </w:r>
      <w:r>
        <w:rPr/>
        <w:t>health,</w:t>
      </w:r>
      <w:r>
        <w:rPr>
          <w:spacing w:val="-4"/>
        </w:rPr>
        <w:t> </w:t>
      </w:r>
      <w:r>
        <w:rPr/>
        <w:t>and</w:t>
      </w:r>
      <w:r>
        <w:rPr>
          <w:spacing w:val="-4"/>
        </w:rPr>
        <w:t> </w:t>
      </w:r>
      <w:r>
        <w:rPr/>
        <w:t>undermining</w:t>
      </w:r>
      <w:r>
        <w:rPr>
          <w:spacing w:val="-4"/>
        </w:rPr>
        <w:t> </w:t>
      </w:r>
      <w:r>
        <w:rPr/>
        <w:t>it</w:t>
      </w:r>
      <w:r>
        <w:rPr>
          <w:spacing w:val="-4"/>
        </w:rPr>
        <w:t> </w:t>
      </w:r>
      <w:r>
        <w:rPr/>
        <w:t>would</w:t>
      </w:r>
      <w:r>
        <w:rPr>
          <w:spacing w:val="-4"/>
        </w:rPr>
        <w:t> </w:t>
      </w:r>
      <w:r>
        <w:rPr/>
        <w:t>interfere</w:t>
      </w:r>
      <w:r>
        <w:rPr>
          <w:spacing w:val="-4"/>
        </w:rPr>
        <w:t> </w:t>
      </w:r>
      <w:r>
        <w:rPr/>
        <w:t>with</w:t>
      </w:r>
      <w:r>
        <w:rPr>
          <w:spacing w:val="-4"/>
        </w:rPr>
        <w:t> </w:t>
      </w:r>
      <w:r>
        <w:rPr/>
        <w:t>the</w:t>
      </w:r>
      <w:r>
        <w:rPr>
          <w:spacing w:val="-4"/>
        </w:rPr>
        <w:t> </w:t>
      </w:r>
      <w:r>
        <w:rPr/>
        <w:t>FDA’s</w:t>
      </w:r>
      <w:r>
        <w:rPr>
          <w:spacing w:val="-4"/>
        </w:rPr>
        <w:t> </w:t>
      </w:r>
      <w:r>
        <w:rPr/>
        <w:t>ability to fulfill that mission.</w:t>
      </w:r>
    </w:p>
    <w:p>
      <w:pPr>
        <w:pStyle w:val="BodyText"/>
        <w:spacing w:before="107"/>
      </w:pPr>
    </w:p>
    <w:p>
      <w:pPr>
        <w:pStyle w:val="BodyText"/>
        <w:spacing w:line="276" w:lineRule="auto"/>
        <w:ind w:right="21" w:firstLine="720"/>
      </w:pPr>
      <w:r>
        <w:rPr/>
        <w:t>The weak claims presented in the petition, based on a limited number of small and poorly-controlled studies and outright health disinformation, are not the “gold-standard science” the Department has promised the American people. The FDA has previously released studies</w:t>
      </w:r>
      <w:r>
        <w:rPr>
          <w:vertAlign w:val="superscript"/>
        </w:rPr>
        <w:t>4</w:t>
      </w:r>
      <w:r>
        <w:rPr>
          <w:vertAlign w:val="baseline"/>
        </w:rPr>
        <w:t> stating</w:t>
      </w:r>
      <w:r>
        <w:rPr>
          <w:spacing w:val="-4"/>
          <w:vertAlign w:val="baseline"/>
        </w:rPr>
        <w:t> </w:t>
      </w:r>
      <w:r>
        <w:rPr>
          <w:vertAlign w:val="baseline"/>
        </w:rPr>
        <w:t>that</w:t>
      </w:r>
      <w:r>
        <w:rPr>
          <w:spacing w:val="-4"/>
          <w:vertAlign w:val="baseline"/>
        </w:rPr>
        <w:t> </w:t>
      </w:r>
      <w:r>
        <w:rPr>
          <w:vertAlign w:val="baseline"/>
        </w:rPr>
        <w:t>there</w:t>
      </w:r>
      <w:r>
        <w:rPr>
          <w:spacing w:val="-4"/>
          <w:vertAlign w:val="baseline"/>
        </w:rPr>
        <w:t> </w:t>
      </w:r>
      <w:r>
        <w:rPr>
          <w:vertAlign w:val="baseline"/>
        </w:rPr>
        <w:t>is</w:t>
      </w:r>
      <w:r>
        <w:rPr>
          <w:spacing w:val="-4"/>
          <w:vertAlign w:val="baseline"/>
        </w:rPr>
        <w:t> </w:t>
      </w:r>
      <w:r>
        <w:rPr>
          <w:vertAlign w:val="baseline"/>
        </w:rPr>
        <w:t>no</w:t>
      </w:r>
      <w:r>
        <w:rPr>
          <w:spacing w:val="-4"/>
          <w:vertAlign w:val="baseline"/>
        </w:rPr>
        <w:t> </w:t>
      </w:r>
      <w:r>
        <w:rPr>
          <w:vertAlign w:val="baseline"/>
        </w:rPr>
        <w:t>link</w:t>
      </w:r>
      <w:r>
        <w:rPr>
          <w:spacing w:val="-4"/>
          <w:vertAlign w:val="baseline"/>
        </w:rPr>
        <w:t> </w:t>
      </w:r>
      <w:r>
        <w:rPr>
          <w:vertAlign w:val="baseline"/>
        </w:rPr>
        <w:t>between</w:t>
      </w:r>
      <w:r>
        <w:rPr>
          <w:spacing w:val="-4"/>
          <w:vertAlign w:val="baseline"/>
        </w:rPr>
        <w:t> </w:t>
      </w:r>
      <w:r>
        <w:rPr>
          <w:vertAlign w:val="baseline"/>
        </w:rPr>
        <w:t>taking</w:t>
      </w:r>
      <w:r>
        <w:rPr>
          <w:spacing w:val="-4"/>
          <w:vertAlign w:val="baseline"/>
        </w:rPr>
        <w:t> </w:t>
      </w:r>
      <w:r>
        <w:rPr>
          <w:vertAlign w:val="baseline"/>
        </w:rPr>
        <w:t>acetaminophen-containing</w:t>
      </w:r>
      <w:r>
        <w:rPr>
          <w:spacing w:val="-4"/>
          <w:vertAlign w:val="baseline"/>
        </w:rPr>
        <w:t> </w:t>
      </w:r>
      <w:r>
        <w:rPr>
          <w:vertAlign w:val="baseline"/>
        </w:rPr>
        <w:t>drug</w:t>
      </w:r>
      <w:r>
        <w:rPr>
          <w:spacing w:val="-4"/>
          <w:vertAlign w:val="baseline"/>
        </w:rPr>
        <w:t> </w:t>
      </w:r>
      <w:r>
        <w:rPr>
          <w:vertAlign w:val="baseline"/>
        </w:rPr>
        <w:t>products</w:t>
      </w:r>
      <w:r>
        <w:rPr>
          <w:spacing w:val="-4"/>
          <w:vertAlign w:val="baseline"/>
        </w:rPr>
        <w:t> </w:t>
      </w:r>
      <w:r>
        <w:rPr>
          <w:vertAlign w:val="baseline"/>
        </w:rPr>
        <w:t>and</w:t>
      </w:r>
      <w:r>
        <w:rPr>
          <w:spacing w:val="-4"/>
          <w:vertAlign w:val="baseline"/>
        </w:rPr>
        <w:t> </w:t>
      </w:r>
      <w:r>
        <w:rPr>
          <w:vertAlign w:val="baseline"/>
        </w:rPr>
        <w:t>autism, and has rejected previous proposals to modify the warning label on acetaminophen products. In addition, the Secretary himself has acknowledged that the available evidence, including that which is cited in this petition, is not sufficient to support a causal inference as recently as October 29th of this year</w:t>
      </w:r>
      <w:r>
        <w:rPr>
          <w:vertAlign w:val="superscript"/>
        </w:rPr>
        <w:t>5</w:t>
      </w:r>
      <w:r>
        <w:rPr>
          <w:vertAlign w:val="baseline"/>
        </w:rPr>
        <w:t>. Without new information or further studies providing data, if pursued, this regulation would be </w:t>
      </w:r>
      <w:r>
        <w:rPr>
          <w:b/>
          <w:vertAlign w:val="baseline"/>
        </w:rPr>
        <w:t>arbitrary and capricious </w:t>
      </w:r>
      <w:r>
        <w:rPr>
          <w:vertAlign w:val="baseline"/>
        </w:rPr>
        <w:t>as it would be a change of the agency's historical position, without a reputable source or change in scientific knowledge to account for this change.</w:t>
      </w:r>
    </w:p>
    <w:p>
      <w:pPr>
        <w:pStyle w:val="BodyText"/>
        <w:spacing w:before="107"/>
      </w:pPr>
    </w:p>
    <w:p>
      <w:pPr>
        <w:pStyle w:val="BodyText"/>
        <w:spacing w:line="276" w:lineRule="auto"/>
        <w:ind w:firstLine="720"/>
      </w:pPr>
      <w:r>
        <w:rPr/>
        <w:t>ASAN will continue to advocate for an autism research agenda based in science and a policy</w:t>
      </w:r>
      <w:r>
        <w:rPr>
          <w:spacing w:val="-1"/>
        </w:rPr>
        <w:t> </w:t>
      </w:r>
      <w:r>
        <w:rPr/>
        <w:t>agenda</w:t>
      </w:r>
      <w:r>
        <w:rPr>
          <w:spacing w:val="-1"/>
        </w:rPr>
        <w:t> </w:t>
      </w:r>
      <w:r>
        <w:rPr/>
        <w:t>that</w:t>
      </w:r>
      <w:r>
        <w:rPr>
          <w:spacing w:val="-1"/>
        </w:rPr>
        <w:t> </w:t>
      </w:r>
      <w:r>
        <w:rPr/>
        <w:t>addresses</w:t>
      </w:r>
      <w:r>
        <w:rPr>
          <w:spacing w:val="-1"/>
        </w:rPr>
        <w:t> </w:t>
      </w:r>
      <w:r>
        <w:rPr/>
        <w:t>the</w:t>
      </w:r>
      <w:r>
        <w:rPr>
          <w:spacing w:val="-1"/>
        </w:rPr>
        <w:t> </w:t>
      </w:r>
      <w:r>
        <w:rPr/>
        <w:t>needs</w:t>
      </w:r>
      <w:r>
        <w:rPr>
          <w:spacing w:val="-1"/>
        </w:rPr>
        <w:t> </w:t>
      </w:r>
      <w:r>
        <w:rPr/>
        <w:t>of</w:t>
      </w:r>
      <w:r>
        <w:rPr>
          <w:spacing w:val="-1"/>
        </w:rPr>
        <w:t> </w:t>
      </w:r>
      <w:r>
        <w:rPr/>
        <w:t>autistic</w:t>
      </w:r>
      <w:r>
        <w:rPr>
          <w:spacing w:val="-1"/>
        </w:rPr>
        <w:t> </w:t>
      </w:r>
      <w:r>
        <w:rPr/>
        <w:t>people</w:t>
      </w:r>
      <w:r>
        <w:rPr>
          <w:spacing w:val="-1"/>
        </w:rPr>
        <w:t> </w:t>
      </w:r>
      <w:r>
        <w:rPr/>
        <w:t>and</w:t>
      </w:r>
      <w:r>
        <w:rPr>
          <w:spacing w:val="-1"/>
        </w:rPr>
        <w:t> </w:t>
      </w:r>
      <w:r>
        <w:rPr/>
        <w:t>our</w:t>
      </w:r>
      <w:r>
        <w:rPr>
          <w:spacing w:val="-1"/>
        </w:rPr>
        <w:t> </w:t>
      </w:r>
      <w:r>
        <w:rPr/>
        <w:t>families,</w:t>
      </w:r>
      <w:r>
        <w:rPr>
          <w:spacing w:val="-1"/>
        </w:rPr>
        <w:t> </w:t>
      </w:r>
      <w:r>
        <w:rPr/>
        <w:t>like</w:t>
      </w:r>
      <w:r>
        <w:rPr>
          <w:spacing w:val="-1"/>
        </w:rPr>
        <w:t> </w:t>
      </w:r>
      <w:r>
        <w:rPr/>
        <w:t>better</w:t>
      </w:r>
      <w:r>
        <w:rPr>
          <w:spacing w:val="-1"/>
        </w:rPr>
        <w:t> </w:t>
      </w:r>
      <w:r>
        <w:rPr/>
        <w:t>access</w:t>
      </w:r>
      <w:r>
        <w:rPr>
          <w:spacing w:val="-1"/>
        </w:rPr>
        <w:t> </w:t>
      </w:r>
      <w:r>
        <w:rPr/>
        <w:t>to services and supports. We deserve nothing less. The narrative that has been provided in this petition is harmful to the autistic community and is damaging to the study of science and drug interactions</w:t>
      </w:r>
      <w:r>
        <w:rPr>
          <w:spacing w:val="-4"/>
        </w:rPr>
        <w:t> </w:t>
      </w:r>
      <w:r>
        <w:rPr/>
        <w:t>as</w:t>
      </w:r>
      <w:r>
        <w:rPr>
          <w:spacing w:val="-4"/>
        </w:rPr>
        <w:t> </w:t>
      </w:r>
      <w:r>
        <w:rPr/>
        <w:t>a</w:t>
      </w:r>
      <w:r>
        <w:rPr>
          <w:spacing w:val="-4"/>
        </w:rPr>
        <w:t> </w:t>
      </w:r>
      <w:r>
        <w:rPr/>
        <w:t>whole.</w:t>
      </w:r>
      <w:r>
        <w:rPr>
          <w:spacing w:val="-4"/>
        </w:rPr>
        <w:t> </w:t>
      </w:r>
      <w:r>
        <w:rPr/>
        <w:t>Autism</w:t>
      </w:r>
      <w:r>
        <w:rPr>
          <w:spacing w:val="-4"/>
        </w:rPr>
        <w:t> </w:t>
      </w:r>
      <w:r>
        <w:rPr/>
        <w:t>is</w:t>
      </w:r>
      <w:r>
        <w:rPr>
          <w:spacing w:val="-4"/>
        </w:rPr>
        <w:t> </w:t>
      </w:r>
      <w:r>
        <w:rPr/>
        <w:t>a</w:t>
      </w:r>
      <w:r>
        <w:rPr>
          <w:spacing w:val="-4"/>
        </w:rPr>
        <w:t> </w:t>
      </w:r>
      <w:r>
        <w:rPr/>
        <w:t>natural</w:t>
      </w:r>
      <w:r>
        <w:rPr>
          <w:spacing w:val="-4"/>
        </w:rPr>
        <w:t> </w:t>
      </w:r>
      <w:r>
        <w:rPr/>
        <w:t>part</w:t>
      </w:r>
      <w:r>
        <w:rPr>
          <w:spacing w:val="-4"/>
        </w:rPr>
        <w:t> </w:t>
      </w:r>
      <w:r>
        <w:rPr/>
        <w:t>of</w:t>
      </w:r>
      <w:r>
        <w:rPr>
          <w:spacing w:val="-4"/>
        </w:rPr>
        <w:t> </w:t>
      </w:r>
      <w:r>
        <w:rPr/>
        <w:t>human</w:t>
      </w:r>
      <w:r>
        <w:rPr>
          <w:spacing w:val="-4"/>
        </w:rPr>
        <w:t> </w:t>
      </w:r>
      <w:r>
        <w:rPr/>
        <w:t>diversity.</w:t>
      </w:r>
      <w:r>
        <w:rPr>
          <w:spacing w:val="-4"/>
        </w:rPr>
        <w:t> </w:t>
      </w:r>
      <w:r>
        <w:rPr/>
        <w:t>Autistic</w:t>
      </w:r>
      <w:r>
        <w:rPr>
          <w:spacing w:val="-4"/>
        </w:rPr>
        <w:t> </w:t>
      </w:r>
      <w:r>
        <w:rPr/>
        <w:t>people</w:t>
      </w:r>
      <w:r>
        <w:rPr>
          <w:spacing w:val="-4"/>
        </w:rPr>
        <w:t> </w:t>
      </w:r>
      <w:r>
        <w:rPr/>
        <w:t>enjoy</w:t>
      </w:r>
      <w:r>
        <w:rPr>
          <w:spacing w:val="-4"/>
        </w:rPr>
        <w:t> </w:t>
      </w:r>
      <w:r>
        <w:rPr/>
        <w:t>a</w:t>
      </w:r>
      <w:r>
        <w:rPr>
          <w:spacing w:val="-4"/>
        </w:rPr>
        <w:t> </w:t>
      </w:r>
      <w:r>
        <w:rPr/>
        <w:t>good quality of life when we have the supports we need. Autism is not a problem for which anyone needs to be blamed. An HHS that does not further this understanding and provide accurate information to the President and the public to make safe, science-informed decisions puts the country at grave risk. From recommending against the use of the best treatment for fever and pain during pregnancy to endorsing misinformation regarding the causes of autism, the facts presented in this petition put us all in danger.</w:t>
      </w:r>
    </w:p>
    <w:p>
      <w:pPr>
        <w:pStyle w:val="BodyText"/>
        <w:rPr>
          <w:sz w:val="20"/>
        </w:rPr>
      </w:pPr>
    </w:p>
    <w:p>
      <w:pPr>
        <w:pStyle w:val="BodyText"/>
        <w:rPr>
          <w:sz w:val="20"/>
        </w:rPr>
      </w:pPr>
    </w:p>
    <w:p>
      <w:pPr>
        <w:pStyle w:val="BodyText"/>
        <w:spacing w:before="121"/>
        <w:rPr>
          <w:sz w:val="20"/>
        </w:rPr>
      </w:pPr>
      <w:r>
        <w:rPr>
          <w:sz w:val="20"/>
        </w:rPr>
        <mc:AlternateContent>
          <mc:Choice Requires="wps">
            <w:drawing>
              <wp:anchor distT="0" distB="0" distL="0" distR="0" allowOverlap="1" layoutInCell="1" locked="0" behindDoc="1" simplePos="0" relativeHeight="487588352">
                <wp:simplePos x="0" y="0"/>
                <wp:positionH relativeFrom="page">
                  <wp:posOffset>914400</wp:posOffset>
                </wp:positionH>
                <wp:positionV relativeFrom="paragraph">
                  <wp:posOffset>238245</wp:posOffset>
                </wp:positionV>
                <wp:extent cx="182880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1828800" cy="1270"/>
                        </a:xfrm>
                        <a:custGeom>
                          <a:avLst/>
                          <a:gdLst/>
                          <a:ahLst/>
                          <a:cxnLst/>
                          <a:rect l="l" t="t" r="r" b="b"/>
                          <a:pathLst>
                            <a:path w="1828800" h="0">
                              <a:moveTo>
                                <a:pt x="0" y="0"/>
                              </a:moveTo>
                              <a:lnTo>
                                <a:pt x="1828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8.759495pt;width:144pt;height:.1pt;mso-position-horizontal-relative:page;mso-position-vertical-relative:paragraph;z-index:-15728128;mso-wrap-distance-left:0;mso-wrap-distance-right:0" id="docshape2" coordorigin="1440,375" coordsize="2880,0" path="m1440,375l4320,375e" filled="false" stroked="true" strokeweight=".75pt" strokecolor="#000000">
                <v:path arrowok="t"/>
                <v:stroke dashstyle="solid"/>
                <w10:wrap type="topAndBottom"/>
              </v:shape>
            </w:pict>
          </mc:Fallback>
        </mc:AlternateContent>
      </w:r>
    </w:p>
    <w:p>
      <w:pPr>
        <w:spacing w:before="103"/>
        <w:ind w:left="0" w:right="0" w:firstLine="0"/>
        <w:jc w:val="left"/>
        <w:rPr>
          <w:sz w:val="20"/>
        </w:rPr>
      </w:pPr>
      <w:r>
        <w:rPr>
          <w:sz w:val="20"/>
          <w:vertAlign w:val="superscript"/>
        </w:rPr>
        <w:t>4</w:t>
      </w:r>
      <w:r>
        <w:rPr>
          <w:spacing w:val="-4"/>
          <w:sz w:val="20"/>
          <w:vertAlign w:val="baseline"/>
        </w:rPr>
        <w:t> </w:t>
      </w:r>
      <w:r>
        <w:rPr>
          <w:sz w:val="20"/>
          <w:vertAlign w:val="baseline"/>
        </w:rPr>
        <w:t>Food</w:t>
      </w:r>
      <w:r>
        <w:rPr>
          <w:spacing w:val="-4"/>
          <w:sz w:val="20"/>
          <w:vertAlign w:val="baseline"/>
        </w:rPr>
        <w:t> </w:t>
      </w:r>
      <w:r>
        <w:rPr>
          <w:sz w:val="20"/>
          <w:vertAlign w:val="baseline"/>
        </w:rPr>
        <w:t>and</w:t>
      </w:r>
      <w:r>
        <w:rPr>
          <w:spacing w:val="-4"/>
          <w:sz w:val="20"/>
          <w:vertAlign w:val="baseline"/>
        </w:rPr>
        <w:t> </w:t>
      </w:r>
      <w:r>
        <w:rPr>
          <w:sz w:val="20"/>
          <w:vertAlign w:val="baseline"/>
        </w:rPr>
        <w:t>Drug</w:t>
      </w:r>
      <w:r>
        <w:rPr>
          <w:spacing w:val="-4"/>
          <w:sz w:val="20"/>
          <w:vertAlign w:val="baseline"/>
        </w:rPr>
        <w:t> </w:t>
      </w:r>
      <w:r>
        <w:rPr>
          <w:sz w:val="20"/>
          <w:vertAlign w:val="baseline"/>
        </w:rPr>
        <w:t>Administration,</w:t>
      </w:r>
      <w:r>
        <w:rPr>
          <w:spacing w:val="-4"/>
          <w:sz w:val="20"/>
          <w:vertAlign w:val="baseline"/>
        </w:rPr>
        <w:t> </w:t>
      </w:r>
      <w:r>
        <w:rPr>
          <w:i/>
          <w:sz w:val="20"/>
          <w:vertAlign w:val="baseline"/>
        </w:rPr>
        <w:t>FDA</w:t>
      </w:r>
      <w:r>
        <w:rPr>
          <w:i/>
          <w:spacing w:val="-4"/>
          <w:sz w:val="20"/>
          <w:vertAlign w:val="baseline"/>
        </w:rPr>
        <w:t> </w:t>
      </w:r>
      <w:r>
        <w:rPr>
          <w:i/>
          <w:sz w:val="20"/>
          <w:vertAlign w:val="baseline"/>
        </w:rPr>
        <w:t>Drug</w:t>
      </w:r>
      <w:r>
        <w:rPr>
          <w:i/>
          <w:spacing w:val="-4"/>
          <w:sz w:val="20"/>
          <w:vertAlign w:val="baseline"/>
        </w:rPr>
        <w:t> </w:t>
      </w:r>
      <w:r>
        <w:rPr>
          <w:i/>
          <w:sz w:val="20"/>
          <w:vertAlign w:val="baseline"/>
        </w:rPr>
        <w:t>Safety</w:t>
      </w:r>
      <w:r>
        <w:rPr>
          <w:i/>
          <w:spacing w:val="-4"/>
          <w:sz w:val="20"/>
          <w:vertAlign w:val="baseline"/>
        </w:rPr>
        <w:t> </w:t>
      </w:r>
      <w:r>
        <w:rPr>
          <w:i/>
          <w:sz w:val="20"/>
          <w:vertAlign w:val="baseline"/>
        </w:rPr>
        <w:t>Communication:</w:t>
      </w:r>
      <w:r>
        <w:rPr>
          <w:i/>
          <w:spacing w:val="-4"/>
          <w:sz w:val="20"/>
          <w:vertAlign w:val="baseline"/>
        </w:rPr>
        <w:t> </w:t>
      </w:r>
      <w:r>
        <w:rPr>
          <w:i/>
          <w:sz w:val="20"/>
          <w:vertAlign w:val="baseline"/>
        </w:rPr>
        <w:t>FDA</w:t>
      </w:r>
      <w:r>
        <w:rPr>
          <w:i/>
          <w:spacing w:val="-4"/>
          <w:sz w:val="20"/>
          <w:vertAlign w:val="baseline"/>
        </w:rPr>
        <w:t> </w:t>
      </w:r>
      <w:r>
        <w:rPr>
          <w:i/>
          <w:sz w:val="20"/>
          <w:vertAlign w:val="baseline"/>
        </w:rPr>
        <w:t>has</w:t>
      </w:r>
      <w:r>
        <w:rPr>
          <w:i/>
          <w:spacing w:val="-4"/>
          <w:sz w:val="20"/>
          <w:vertAlign w:val="baseline"/>
        </w:rPr>
        <w:t> </w:t>
      </w:r>
      <w:r>
        <w:rPr>
          <w:i/>
          <w:sz w:val="20"/>
          <w:vertAlign w:val="baseline"/>
        </w:rPr>
        <w:t>reviewed</w:t>
      </w:r>
      <w:r>
        <w:rPr>
          <w:i/>
          <w:spacing w:val="-4"/>
          <w:sz w:val="20"/>
          <w:vertAlign w:val="baseline"/>
        </w:rPr>
        <w:t> </w:t>
      </w:r>
      <w:r>
        <w:rPr>
          <w:i/>
          <w:sz w:val="20"/>
          <w:vertAlign w:val="baseline"/>
        </w:rPr>
        <w:t>possible</w:t>
      </w:r>
      <w:r>
        <w:rPr>
          <w:i/>
          <w:spacing w:val="-4"/>
          <w:sz w:val="20"/>
          <w:vertAlign w:val="baseline"/>
        </w:rPr>
        <w:t> </w:t>
      </w:r>
      <w:r>
        <w:rPr>
          <w:i/>
          <w:sz w:val="20"/>
          <w:vertAlign w:val="baseline"/>
        </w:rPr>
        <w:t>risks</w:t>
      </w:r>
      <w:r>
        <w:rPr>
          <w:i/>
          <w:spacing w:val="-4"/>
          <w:sz w:val="20"/>
          <w:vertAlign w:val="baseline"/>
        </w:rPr>
        <w:t> </w:t>
      </w:r>
      <w:r>
        <w:rPr>
          <w:i/>
          <w:sz w:val="20"/>
          <w:vertAlign w:val="baseline"/>
        </w:rPr>
        <w:t>of</w:t>
      </w:r>
      <w:r>
        <w:rPr>
          <w:i/>
          <w:sz w:val="20"/>
          <w:vertAlign w:val="baseline"/>
        </w:rPr>
        <w:t> pain medicine use during pregnancy</w:t>
      </w:r>
      <w:r>
        <w:rPr>
          <w:sz w:val="20"/>
          <w:vertAlign w:val="baseline"/>
        </w:rPr>
        <w:t>, (2016).</w:t>
      </w:r>
    </w:p>
    <w:p>
      <w:pPr>
        <w:spacing w:before="0"/>
        <w:ind w:left="0" w:right="35" w:firstLine="0"/>
        <w:jc w:val="left"/>
        <w:rPr>
          <w:sz w:val="20"/>
        </w:rPr>
      </w:pPr>
      <w:hyperlink r:id="rId9">
        <w:r>
          <w:rPr>
            <w:spacing w:val="-2"/>
            <w:sz w:val="20"/>
            <w:u w:val="thick"/>
          </w:rPr>
          <w:t>https://www.fda.gov/drugs/drug-safety-and-availability/fda-drug-safety-communication-fda-has-reviewed-p</w:t>
        </w:r>
      </w:hyperlink>
      <w:r>
        <w:rPr>
          <w:spacing w:val="-2"/>
          <w:sz w:val="20"/>
          <w:u w:val="none"/>
        </w:rPr>
        <w:t> </w:t>
      </w:r>
      <w:hyperlink r:id="rId9">
        <w:r>
          <w:rPr>
            <w:spacing w:val="-2"/>
            <w:sz w:val="20"/>
            <w:u w:val="thick"/>
          </w:rPr>
          <w:t>ossible-risks-pain-medicine-use-during-pregnancy</w:t>
        </w:r>
      </w:hyperlink>
    </w:p>
    <w:p>
      <w:pPr>
        <w:spacing w:before="0"/>
        <w:ind w:left="0" w:right="101" w:firstLine="0"/>
        <w:jc w:val="left"/>
        <w:rPr>
          <w:i/>
          <w:sz w:val="20"/>
        </w:rPr>
      </w:pPr>
      <w:r>
        <w:rPr>
          <w:sz w:val="20"/>
          <w:vertAlign w:val="superscript"/>
        </w:rPr>
        <w:t>5</w:t>
      </w:r>
      <w:r>
        <w:rPr>
          <w:spacing w:val="-4"/>
          <w:sz w:val="20"/>
          <w:vertAlign w:val="baseline"/>
        </w:rPr>
        <w:t> </w:t>
      </w:r>
      <w:r>
        <w:rPr>
          <w:sz w:val="20"/>
          <w:vertAlign w:val="baseline"/>
        </w:rPr>
        <w:t>Heavey,</w:t>
      </w:r>
      <w:r>
        <w:rPr>
          <w:spacing w:val="-4"/>
          <w:sz w:val="20"/>
          <w:vertAlign w:val="baseline"/>
        </w:rPr>
        <w:t> </w:t>
      </w:r>
      <w:r>
        <w:rPr>
          <w:sz w:val="20"/>
          <w:vertAlign w:val="baseline"/>
        </w:rPr>
        <w:t>S.</w:t>
      </w:r>
      <w:r>
        <w:rPr>
          <w:spacing w:val="-4"/>
          <w:sz w:val="20"/>
          <w:vertAlign w:val="baseline"/>
        </w:rPr>
        <w:t> </w:t>
      </w:r>
      <w:r>
        <w:rPr>
          <w:sz w:val="20"/>
          <w:vertAlign w:val="baseline"/>
        </w:rPr>
        <w:t>and</w:t>
      </w:r>
      <w:r>
        <w:rPr>
          <w:spacing w:val="-4"/>
          <w:sz w:val="20"/>
          <w:vertAlign w:val="baseline"/>
        </w:rPr>
        <w:t> </w:t>
      </w:r>
      <w:r>
        <w:rPr>
          <w:sz w:val="20"/>
          <w:vertAlign w:val="baseline"/>
        </w:rPr>
        <w:t>Aboulenein,</w:t>
      </w:r>
      <w:r>
        <w:rPr>
          <w:spacing w:val="-4"/>
          <w:sz w:val="20"/>
          <w:vertAlign w:val="baseline"/>
        </w:rPr>
        <w:t> </w:t>
      </w:r>
      <w:r>
        <w:rPr>
          <w:sz w:val="20"/>
          <w:vertAlign w:val="baseline"/>
        </w:rPr>
        <w:t>A</w:t>
      </w:r>
      <w:r>
        <w:rPr>
          <w:spacing w:val="-4"/>
          <w:sz w:val="20"/>
          <w:vertAlign w:val="baseline"/>
        </w:rPr>
        <w:t> </w:t>
      </w:r>
      <w:r>
        <w:rPr>
          <w:sz w:val="20"/>
          <w:vertAlign w:val="baseline"/>
        </w:rPr>
        <w:t>(2025,</w:t>
      </w:r>
      <w:r>
        <w:rPr>
          <w:spacing w:val="-4"/>
          <w:sz w:val="20"/>
          <w:vertAlign w:val="baseline"/>
        </w:rPr>
        <w:t> </w:t>
      </w:r>
      <w:r>
        <w:rPr>
          <w:sz w:val="20"/>
          <w:vertAlign w:val="baseline"/>
        </w:rPr>
        <w:t>October</w:t>
      </w:r>
      <w:r>
        <w:rPr>
          <w:spacing w:val="-4"/>
          <w:sz w:val="20"/>
          <w:vertAlign w:val="baseline"/>
        </w:rPr>
        <w:t> </w:t>
      </w:r>
      <w:r>
        <w:rPr>
          <w:sz w:val="20"/>
          <w:vertAlign w:val="baseline"/>
        </w:rPr>
        <w:t>29).</w:t>
      </w:r>
      <w:r>
        <w:rPr>
          <w:spacing w:val="-4"/>
          <w:sz w:val="20"/>
          <w:vertAlign w:val="baseline"/>
        </w:rPr>
        <w:t> </w:t>
      </w:r>
      <w:r>
        <w:rPr>
          <w:i/>
          <w:sz w:val="20"/>
          <w:vertAlign w:val="baseline"/>
        </w:rPr>
        <w:t>US</w:t>
      </w:r>
      <w:r>
        <w:rPr>
          <w:i/>
          <w:spacing w:val="-4"/>
          <w:sz w:val="20"/>
          <w:vertAlign w:val="baseline"/>
        </w:rPr>
        <w:t> </w:t>
      </w:r>
      <w:r>
        <w:rPr>
          <w:i/>
          <w:sz w:val="20"/>
          <w:vertAlign w:val="baseline"/>
        </w:rPr>
        <w:t>health</w:t>
      </w:r>
      <w:r>
        <w:rPr>
          <w:i/>
          <w:spacing w:val="-4"/>
          <w:sz w:val="20"/>
          <w:vertAlign w:val="baseline"/>
        </w:rPr>
        <w:t> </w:t>
      </w:r>
      <w:r>
        <w:rPr>
          <w:i/>
          <w:sz w:val="20"/>
          <w:vertAlign w:val="baseline"/>
        </w:rPr>
        <w:t>chief</w:t>
      </w:r>
      <w:r>
        <w:rPr>
          <w:i/>
          <w:spacing w:val="-4"/>
          <w:sz w:val="20"/>
          <w:vertAlign w:val="baseline"/>
        </w:rPr>
        <w:t> </w:t>
      </w:r>
      <w:r>
        <w:rPr>
          <w:i/>
          <w:sz w:val="20"/>
          <w:vertAlign w:val="baseline"/>
        </w:rPr>
        <w:t>says</w:t>
      </w:r>
      <w:r>
        <w:rPr>
          <w:i/>
          <w:spacing w:val="-4"/>
          <w:sz w:val="20"/>
          <w:vertAlign w:val="baseline"/>
        </w:rPr>
        <w:t> </w:t>
      </w:r>
      <w:r>
        <w:rPr>
          <w:i/>
          <w:sz w:val="20"/>
          <w:vertAlign w:val="baseline"/>
        </w:rPr>
        <w:t>there</w:t>
      </w:r>
      <w:r>
        <w:rPr>
          <w:i/>
          <w:spacing w:val="-4"/>
          <w:sz w:val="20"/>
          <w:vertAlign w:val="baseline"/>
        </w:rPr>
        <w:t> </w:t>
      </w:r>
      <w:r>
        <w:rPr>
          <w:i/>
          <w:sz w:val="20"/>
          <w:vertAlign w:val="baseline"/>
        </w:rPr>
        <w:t>is</w:t>
      </w:r>
      <w:r>
        <w:rPr>
          <w:i/>
          <w:spacing w:val="-4"/>
          <w:sz w:val="20"/>
          <w:vertAlign w:val="baseline"/>
        </w:rPr>
        <w:t> </w:t>
      </w:r>
      <w:r>
        <w:rPr>
          <w:i/>
          <w:sz w:val="20"/>
          <w:vertAlign w:val="baseline"/>
        </w:rPr>
        <w:t>not</w:t>
      </w:r>
      <w:r>
        <w:rPr>
          <w:i/>
          <w:spacing w:val="-4"/>
          <w:sz w:val="20"/>
          <w:vertAlign w:val="baseline"/>
        </w:rPr>
        <w:t> </w:t>
      </w:r>
      <w:r>
        <w:rPr>
          <w:i/>
          <w:sz w:val="20"/>
          <w:vertAlign w:val="baseline"/>
        </w:rPr>
        <w:t>enough</w:t>
      </w:r>
      <w:r>
        <w:rPr>
          <w:i/>
          <w:spacing w:val="-4"/>
          <w:sz w:val="20"/>
          <w:vertAlign w:val="baseline"/>
        </w:rPr>
        <w:t> </w:t>
      </w:r>
      <w:r>
        <w:rPr>
          <w:i/>
          <w:sz w:val="20"/>
          <w:vertAlign w:val="baseline"/>
        </w:rPr>
        <w:t>data</w:t>
      </w:r>
      <w:r>
        <w:rPr>
          <w:i/>
          <w:spacing w:val="-4"/>
          <w:sz w:val="20"/>
          <w:vertAlign w:val="baseline"/>
        </w:rPr>
        <w:t> </w:t>
      </w:r>
      <w:r>
        <w:rPr>
          <w:i/>
          <w:sz w:val="20"/>
          <w:vertAlign w:val="baseline"/>
        </w:rPr>
        <w:t>to</w:t>
      </w:r>
      <w:r>
        <w:rPr>
          <w:i/>
          <w:sz w:val="20"/>
          <w:vertAlign w:val="baseline"/>
        </w:rPr>
        <w:t> show Tylenol causes autism. Reuters.</w:t>
      </w:r>
    </w:p>
    <w:p>
      <w:pPr>
        <w:spacing w:before="0"/>
        <w:ind w:left="0" w:right="101" w:firstLine="0"/>
        <w:jc w:val="left"/>
        <w:rPr>
          <w:sz w:val="20"/>
        </w:rPr>
      </w:pPr>
      <w:hyperlink r:id="rId10">
        <w:r>
          <w:rPr>
            <w:spacing w:val="-2"/>
            <w:sz w:val="20"/>
            <w:u w:val="thick"/>
          </w:rPr>
          <w:t>https://www.reuters.com/business/healthcare-pharmaceuticals/us-health-chief-says-not-enough-data-sho</w:t>
        </w:r>
      </w:hyperlink>
      <w:r>
        <w:rPr>
          <w:spacing w:val="-2"/>
          <w:sz w:val="20"/>
          <w:u w:val="none"/>
        </w:rPr>
        <w:t> </w:t>
      </w:r>
      <w:hyperlink r:id="rId10">
        <w:r>
          <w:rPr>
            <w:spacing w:val="-2"/>
            <w:sz w:val="20"/>
            <w:u w:val="thick"/>
          </w:rPr>
          <w:t>w-tylenol-causes-autism-still-advises-2025-10-29/</w:t>
        </w:r>
      </w:hyperlink>
    </w:p>
    <w:p>
      <w:pPr>
        <w:spacing w:after="0"/>
        <w:jc w:val="left"/>
        <w:rPr>
          <w:sz w:val="20"/>
        </w:rPr>
        <w:sectPr>
          <w:pgSz w:w="12240" w:h="15840"/>
          <w:pgMar w:header="462" w:footer="0" w:top="1960" w:bottom="280" w:left="1440" w:right="1440"/>
        </w:sectPr>
      </w:pPr>
    </w:p>
    <w:p>
      <w:pPr>
        <w:pStyle w:val="BodyText"/>
        <w:spacing w:line="276" w:lineRule="auto" w:before="203"/>
        <w:ind w:firstLine="720"/>
      </w:pPr>
      <w:r>
        <w:rPr/>
        <w:t>To defend the health and well-being of autistic people, our families, and the general public, we respectfully </w:t>
      </w:r>
      <w:r>
        <w:rPr>
          <w:b/>
        </w:rPr>
        <w:t>oppose the petition </w:t>
      </w:r>
      <w:r>
        <w:rPr/>
        <w:t>submitted by the Informed Action Network to urge the FDA to add a warning regarding acetaminophen-containing drug products. For more information</w:t>
      </w:r>
      <w:r>
        <w:rPr>
          <w:spacing w:val="-5"/>
        </w:rPr>
        <w:t> </w:t>
      </w:r>
      <w:r>
        <w:rPr/>
        <w:t>on</w:t>
      </w:r>
      <w:r>
        <w:rPr>
          <w:spacing w:val="-5"/>
        </w:rPr>
        <w:t> </w:t>
      </w:r>
      <w:r>
        <w:rPr/>
        <w:t>ASAN’s</w:t>
      </w:r>
      <w:r>
        <w:rPr>
          <w:spacing w:val="-5"/>
        </w:rPr>
        <w:t> </w:t>
      </w:r>
      <w:r>
        <w:rPr/>
        <w:t>policy</w:t>
      </w:r>
      <w:r>
        <w:rPr>
          <w:spacing w:val="-5"/>
        </w:rPr>
        <w:t> </w:t>
      </w:r>
      <w:r>
        <w:rPr/>
        <w:t>positions</w:t>
      </w:r>
      <w:r>
        <w:rPr>
          <w:spacing w:val="-5"/>
        </w:rPr>
        <w:t> </w:t>
      </w:r>
      <w:r>
        <w:rPr/>
        <w:t>with</w:t>
      </w:r>
      <w:r>
        <w:rPr>
          <w:spacing w:val="-5"/>
        </w:rPr>
        <w:t> </w:t>
      </w:r>
      <w:r>
        <w:rPr/>
        <w:t>respect</w:t>
      </w:r>
      <w:r>
        <w:rPr>
          <w:spacing w:val="-5"/>
        </w:rPr>
        <w:t> </w:t>
      </w:r>
      <w:r>
        <w:rPr/>
        <w:t>to</w:t>
      </w:r>
      <w:r>
        <w:rPr>
          <w:spacing w:val="-5"/>
        </w:rPr>
        <w:t> </w:t>
      </w:r>
      <w:r>
        <w:rPr/>
        <w:t>healthcare</w:t>
      </w:r>
      <w:r>
        <w:rPr>
          <w:spacing w:val="-5"/>
        </w:rPr>
        <w:t> </w:t>
      </w:r>
      <w:r>
        <w:rPr/>
        <w:t>and</w:t>
      </w:r>
      <w:r>
        <w:rPr>
          <w:spacing w:val="-5"/>
        </w:rPr>
        <w:t> </w:t>
      </w:r>
      <w:r>
        <w:rPr/>
        <w:t>research,</w:t>
      </w:r>
      <w:r>
        <w:rPr>
          <w:spacing w:val="-5"/>
        </w:rPr>
        <w:t> </w:t>
      </w:r>
      <w:r>
        <w:rPr/>
        <w:t>please</w:t>
      </w:r>
      <w:r>
        <w:rPr>
          <w:spacing w:val="-5"/>
        </w:rPr>
        <w:t> </w:t>
      </w:r>
      <w:r>
        <w:rPr/>
        <w:t>contact Cameron Lynch, policy analyst at </w:t>
      </w:r>
      <w:hyperlink r:id="rId11">
        <w:r>
          <w:rPr>
            <w:color w:val="1154CC"/>
            <w:u w:val="thick" w:color="1154CC"/>
          </w:rPr>
          <w:t>clynch@autisticadvocacy.org</w:t>
        </w:r>
      </w:hyperlink>
      <w:r>
        <w:rPr>
          <w:u w:val="none"/>
        </w:rPr>
        <w:t>.</w:t>
      </w:r>
    </w:p>
    <w:p>
      <w:pPr>
        <w:pStyle w:val="BodyText"/>
        <w:spacing w:before="38"/>
      </w:pPr>
    </w:p>
    <w:p>
      <w:pPr>
        <w:pStyle w:val="BodyText"/>
      </w:pPr>
      <w:r>
        <w:rPr/>
        <w:t>Thank</w:t>
      </w:r>
      <w:r>
        <w:rPr>
          <w:spacing w:val="-4"/>
        </w:rPr>
        <w:t> </w:t>
      </w:r>
      <w:r>
        <w:rPr/>
        <w:t>you</w:t>
      </w:r>
      <w:r>
        <w:rPr>
          <w:spacing w:val="-4"/>
        </w:rPr>
        <w:t> </w:t>
      </w:r>
      <w:r>
        <w:rPr/>
        <w:t>for</w:t>
      </w:r>
      <w:r>
        <w:rPr>
          <w:spacing w:val="-4"/>
        </w:rPr>
        <w:t> </w:t>
      </w:r>
      <w:r>
        <w:rPr/>
        <w:t>your</w:t>
      </w:r>
      <w:r>
        <w:rPr>
          <w:spacing w:val="-3"/>
        </w:rPr>
        <w:t> </w:t>
      </w:r>
      <w:r>
        <w:rPr>
          <w:spacing w:val="-2"/>
        </w:rPr>
        <w:t>consideration,</w:t>
      </w:r>
    </w:p>
    <w:p>
      <w:pPr>
        <w:spacing w:before="38"/>
        <w:ind w:left="0" w:right="0" w:firstLine="0"/>
        <w:jc w:val="left"/>
        <w:rPr>
          <w:b/>
          <w:sz w:val="22"/>
        </w:rPr>
      </w:pPr>
      <w:r>
        <w:rPr>
          <w:b/>
          <w:sz w:val="22"/>
        </w:rPr>
        <w:t>Autistic</w:t>
      </w:r>
      <w:r>
        <w:rPr>
          <w:b/>
          <w:spacing w:val="-7"/>
          <w:sz w:val="22"/>
        </w:rPr>
        <w:t> </w:t>
      </w:r>
      <w:r>
        <w:rPr>
          <w:b/>
          <w:sz w:val="22"/>
        </w:rPr>
        <w:t>Self</w:t>
      </w:r>
      <w:r>
        <w:rPr>
          <w:b/>
          <w:spacing w:val="-7"/>
          <w:sz w:val="22"/>
        </w:rPr>
        <w:t> </w:t>
      </w:r>
      <w:r>
        <w:rPr>
          <w:b/>
          <w:sz w:val="22"/>
        </w:rPr>
        <w:t>Advocacy</w:t>
      </w:r>
      <w:r>
        <w:rPr>
          <w:b/>
          <w:spacing w:val="-6"/>
          <w:sz w:val="22"/>
        </w:rPr>
        <w:t> </w:t>
      </w:r>
      <w:r>
        <w:rPr>
          <w:b/>
          <w:spacing w:val="-2"/>
          <w:sz w:val="22"/>
        </w:rPr>
        <w:t>Network</w:t>
      </w:r>
    </w:p>
    <w:sectPr>
      <w:pgSz w:w="12240" w:h="15840"/>
      <w:pgMar w:header="462" w:footer="0" w:top="196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549440">
          <wp:simplePos x="0" y="0"/>
          <wp:positionH relativeFrom="page">
            <wp:posOffset>1184104</wp:posOffset>
          </wp:positionH>
          <wp:positionV relativeFrom="page">
            <wp:posOffset>293370</wp:posOffset>
          </wp:positionV>
          <wp:extent cx="5074893" cy="953261"/>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5074893" cy="953261"/>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2"/>
      <w:szCs w:val="22"/>
      <w:lang w:val="en-US" w:eastAsia="en-US" w:bidi="ar-SA"/>
    </w:rPr>
  </w:style>
  <w:style w:styleId="Heading1" w:type="paragraph">
    <w:name w:val="Heading 1"/>
    <w:basedOn w:val="Normal"/>
    <w:uiPriority w:val="1"/>
    <w:qFormat/>
    <w:pPr>
      <w:ind w:left="873" w:hanging="775"/>
      <w:outlineLvl w:val="1"/>
    </w:pPr>
    <w:rPr>
      <w:rFonts w:ascii="Arial" w:hAnsi="Arial" w:eastAsia="Arial" w:cs="Arial"/>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https://jamanetwork.com/journals/jama/fullarticle/2817406" TargetMode="External"/><Relationship Id="rId7" Type="http://schemas.openxmlformats.org/officeDocument/2006/relationships/hyperlink" Target="https://www.jaacap.org/article/S0890-8567(25)02106-9/fulltext" TargetMode="External"/><Relationship Id="rId8" Type="http://schemas.openxmlformats.org/officeDocument/2006/relationships/hyperlink" Target="https://pubmed.ncbi.nlm.nih.gov/26709141/" TargetMode="External"/><Relationship Id="rId9" Type="http://schemas.openxmlformats.org/officeDocument/2006/relationships/hyperlink" Target="https://www.fda.gov/drugs/drug-safety-and-availability/fda-drug-safety-communication-fda-has-reviewed-possible-risks-pain-medicine-use-during-pregnancy" TargetMode="External"/><Relationship Id="rId10" Type="http://schemas.openxmlformats.org/officeDocument/2006/relationships/hyperlink" Target="https://www.reuters.com/business/healthcare-pharmaceuticals/us-health-chief-says-not-enough-data-show-tylenol-causes-autism-still-advises-2025-10-29/" TargetMode="External"/><Relationship Id="rId11" Type="http://schemas.openxmlformats.org/officeDocument/2006/relationships/hyperlink" Target="mailto:clynch@autisticadvocacy.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ASAN Comment re FDA-2025-P-4153-0001</dc:title>
  <dcterms:created xsi:type="dcterms:W3CDTF">2025-12-09T23:38:27Z</dcterms:created>
  <dcterms:modified xsi:type="dcterms:W3CDTF">2025-12-09T23:38:27Z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2025-12-09T00:00:00Z</vt:filetime>
  </property>
  <property fmtid="{D5CDD505-2E9C-101B-9397-08002B2CF9AE}" pid="3" name="Producer">
    <vt:lpwstr>Skia/PDF m144 Google Docs Renderer</vt:lpwstr>
  </property>
  <property fmtid="{D5CDD505-2E9C-101B-9397-08002B2CF9AE}" pid="4" name="LastSaved">
    <vt:filetime>2025-12-09T00:00:00Z</vt:filetime>
  </property>
</Properties>
</file>