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October</w:t>
      </w:r>
      <w:r>
        <w:rPr>
          <w:spacing w:val="-3"/>
        </w:rPr>
        <w:t> </w:t>
      </w:r>
      <w:r>
        <w:rPr/>
        <w:t>10,</w:t>
      </w:r>
      <w:r>
        <w:rPr>
          <w:spacing w:val="-1"/>
        </w:rPr>
        <w:t> </w:t>
      </w:r>
      <w:r>
        <w:rPr>
          <w:spacing w:val="-4"/>
        </w:rPr>
        <w:t>2025</w:t>
      </w:r>
    </w:p>
    <w:p>
      <w:pPr>
        <w:pStyle w:val="Heading1"/>
        <w:spacing w:before="183"/>
        <w:rPr>
          <w:u w:val="none"/>
        </w:rPr>
      </w:pPr>
      <w:hyperlink r:id="rId6">
        <w:r>
          <w:rPr>
            <w:u w:val="single"/>
          </w:rPr>
          <w:t>SUBMITTED</w:t>
        </w:r>
        <w:r>
          <w:rPr>
            <w:spacing w:val="-6"/>
            <w:u w:val="single"/>
          </w:rPr>
          <w:t> </w:t>
        </w:r>
        <w:r>
          <w:rPr>
            <w:u w:val="single"/>
          </w:rPr>
          <w:t>ELECTRONICALLY</w:t>
        </w:r>
        <w:r>
          <w:rPr>
            <w:spacing w:val="-2"/>
            <w:u w:val="single"/>
          </w:rPr>
          <w:t> </w:t>
        </w:r>
        <w:r>
          <w:rPr>
            <w:b w:val="0"/>
            <w:spacing w:val="-2"/>
            <w:u w:val="single"/>
          </w:rPr>
          <w:t>(</w:t>
        </w:r>
        <w:r>
          <w:rPr>
            <w:spacing w:val="-2"/>
            <w:u w:val="single"/>
          </w:rPr>
          <w:t>URORECON@NORIDIAN.COM)</w:t>
        </w:r>
      </w:hyperlink>
    </w:p>
    <w:p>
      <w:pPr>
        <w:pStyle w:val="BodyText"/>
        <w:tabs>
          <w:tab w:pos="5141" w:val="left" w:leader="none"/>
        </w:tabs>
        <w:spacing w:line="259" w:lineRule="auto" w:before="182"/>
        <w:ind w:right="1259"/>
      </w:pPr>
      <w:r>
        <w:rPr/>
        <w:t>Smitha M. Ballyamanda, MD, CAQSM</w:t>
        <w:tab/>
        <w:t>Sunil</w:t>
      </w:r>
      <w:r>
        <w:rPr>
          <w:spacing w:val="-7"/>
        </w:rPr>
        <w:t> </w:t>
      </w:r>
      <w:r>
        <w:rPr/>
        <w:t>V.</w:t>
      </w:r>
      <w:r>
        <w:rPr>
          <w:spacing w:val="-7"/>
        </w:rPr>
        <w:t> </w:t>
      </w:r>
      <w:r>
        <w:rPr/>
        <w:t>Lalla,</w:t>
      </w:r>
      <w:r>
        <w:rPr>
          <w:spacing w:val="-7"/>
        </w:rPr>
        <w:t> </w:t>
      </w:r>
      <w:r>
        <w:rPr/>
        <w:t>MD,</w:t>
      </w:r>
      <w:r>
        <w:rPr>
          <w:spacing w:val="-7"/>
        </w:rPr>
        <w:t> </w:t>
      </w:r>
      <w:r>
        <w:rPr/>
        <w:t>FACS,</w:t>
      </w:r>
      <w:r>
        <w:rPr>
          <w:spacing w:val="-7"/>
        </w:rPr>
        <w:t> </w:t>
      </w:r>
      <w:r>
        <w:rPr/>
        <w:t>CPC Medical Director</w:t>
        <w:tab/>
        <w:t>Chief Medical Officer</w:t>
      </w:r>
    </w:p>
    <w:p>
      <w:pPr>
        <w:pStyle w:val="BodyText"/>
        <w:tabs>
          <w:tab w:pos="5141" w:val="left" w:leader="none"/>
        </w:tabs>
        <w:spacing w:line="275" w:lineRule="exact"/>
      </w:pPr>
      <w:r>
        <w:rPr/>
        <w:t>DME</w:t>
      </w:r>
      <w:r>
        <w:rPr>
          <w:spacing w:val="-1"/>
        </w:rPr>
        <w:t> </w:t>
      </w:r>
      <w:r>
        <w:rPr/>
        <w:t>MAC,</w:t>
      </w:r>
      <w:r>
        <w:rPr>
          <w:spacing w:val="-1"/>
        </w:rPr>
        <w:t> </w:t>
      </w:r>
      <w:r>
        <w:rPr/>
        <w:t>Jurisdiction </w:t>
      </w:r>
      <w:r>
        <w:rPr>
          <w:spacing w:val="-10"/>
        </w:rPr>
        <w:t>A</w:t>
      </w:r>
      <w:r>
        <w:rPr/>
        <w:tab/>
        <w:t>DME</w:t>
      </w:r>
      <w:r>
        <w:rPr>
          <w:spacing w:val="-3"/>
        </w:rPr>
        <w:t> </w:t>
      </w:r>
      <w:r>
        <w:rPr/>
        <w:t>MAC,</w:t>
      </w:r>
      <w:r>
        <w:rPr>
          <w:spacing w:val="-1"/>
        </w:rPr>
        <w:t> </w:t>
      </w:r>
      <w:r>
        <w:rPr/>
        <w:t>Jurisdiction </w:t>
      </w:r>
      <w:r>
        <w:rPr>
          <w:spacing w:val="-10"/>
        </w:rPr>
        <w:t>B</w:t>
      </w:r>
    </w:p>
    <w:p>
      <w:pPr>
        <w:pStyle w:val="BodyText"/>
        <w:tabs>
          <w:tab w:pos="5141" w:val="left" w:leader="none"/>
        </w:tabs>
        <w:spacing w:before="22"/>
      </w:pPr>
      <w:r>
        <w:rPr/>
        <w:t>Noridian,</w:t>
      </w:r>
      <w:r>
        <w:rPr>
          <w:spacing w:val="-3"/>
        </w:rPr>
        <w:t> </w:t>
      </w:r>
      <w:r>
        <w:rPr>
          <w:spacing w:val="-5"/>
        </w:rPr>
        <w:t>LLC</w:t>
      </w:r>
      <w:r>
        <w:rPr/>
        <w:tab/>
        <w:t>CGS</w:t>
      </w:r>
      <w:r>
        <w:rPr>
          <w:spacing w:val="-2"/>
        </w:rPr>
        <w:t> Administrators</w:t>
      </w:r>
    </w:p>
    <w:p>
      <w:pPr>
        <w:pStyle w:val="BodyText"/>
        <w:tabs>
          <w:tab w:pos="5141" w:val="left" w:leader="none"/>
        </w:tabs>
        <w:spacing w:before="22"/>
      </w:pPr>
      <w:r>
        <w:rPr/>
        <w:t>PO Box </w:t>
      </w:r>
      <w:r>
        <w:rPr>
          <w:spacing w:val="-4"/>
        </w:rPr>
        <w:t>6742</w:t>
      </w:r>
      <w:r>
        <w:rPr/>
        <w:tab/>
        <w:t>26</w:t>
      </w:r>
      <w:r>
        <w:rPr>
          <w:spacing w:val="-1"/>
        </w:rPr>
        <w:t> </w:t>
      </w:r>
      <w:r>
        <w:rPr/>
        <w:t>Century Blvd., Ste. </w:t>
      </w:r>
      <w:r>
        <w:rPr>
          <w:spacing w:val="-2"/>
        </w:rPr>
        <w:t>ST610</w:t>
      </w:r>
    </w:p>
    <w:p>
      <w:pPr>
        <w:pStyle w:val="BodyText"/>
        <w:tabs>
          <w:tab w:pos="5141" w:val="left" w:leader="none"/>
        </w:tabs>
        <w:spacing w:before="22"/>
      </w:pPr>
      <w:r>
        <w:rPr/>
        <w:t>Fargo,</w:t>
      </w:r>
      <w:r>
        <w:rPr>
          <w:spacing w:val="-3"/>
        </w:rPr>
        <w:t> </w:t>
      </w:r>
      <w:r>
        <w:rPr/>
        <w:t>ND |</w:t>
      </w:r>
      <w:r>
        <w:rPr>
          <w:spacing w:val="-3"/>
        </w:rPr>
        <w:t> </w:t>
      </w:r>
      <w:r>
        <w:rPr>
          <w:spacing w:val="-2"/>
        </w:rPr>
        <w:t>58108</w:t>
      </w:r>
      <w:r>
        <w:rPr/>
        <w:tab/>
        <w:t>Nashville,</w:t>
      </w:r>
      <w:r>
        <w:rPr>
          <w:spacing w:val="-2"/>
        </w:rPr>
        <w:t> </w:t>
      </w:r>
      <w:r>
        <w:rPr/>
        <w:t>TN |</w:t>
      </w:r>
      <w:r>
        <w:rPr>
          <w:spacing w:val="-3"/>
        </w:rPr>
        <w:t> </w:t>
      </w:r>
      <w:r>
        <w:rPr>
          <w:spacing w:val="-2"/>
        </w:rPr>
        <w:t>37214</w:t>
      </w:r>
    </w:p>
    <w:p>
      <w:pPr>
        <w:pStyle w:val="BodyText"/>
        <w:spacing w:before="45"/>
        <w:ind w:left="0"/>
      </w:pPr>
    </w:p>
    <w:p>
      <w:pPr>
        <w:pStyle w:val="BodyText"/>
        <w:tabs>
          <w:tab w:pos="5141" w:val="left" w:leader="none"/>
        </w:tabs>
      </w:pPr>
      <w:r>
        <w:rPr/>
        <w:t>Robert</w:t>
      </w:r>
      <w:r>
        <w:rPr>
          <w:spacing w:val="-1"/>
        </w:rPr>
        <w:t> </w:t>
      </w:r>
      <w:r>
        <w:rPr/>
        <w:t>D.</w:t>
      </w:r>
      <w:r>
        <w:rPr>
          <w:spacing w:val="-1"/>
        </w:rPr>
        <w:t> </w:t>
      </w:r>
      <w:r>
        <w:rPr/>
        <w:t>Hoover,</w:t>
      </w:r>
      <w:r>
        <w:rPr>
          <w:spacing w:val="-1"/>
        </w:rPr>
        <w:t> </w:t>
      </w:r>
      <w:r>
        <w:rPr/>
        <w:t>MD,</w:t>
      </w:r>
      <w:r>
        <w:rPr>
          <w:spacing w:val="1"/>
        </w:rPr>
        <w:t> </w:t>
      </w:r>
      <w:r>
        <w:rPr/>
        <w:t>MPH,</w:t>
      </w:r>
      <w:r>
        <w:rPr>
          <w:spacing w:val="-1"/>
        </w:rPr>
        <w:t> </w:t>
      </w:r>
      <w:r>
        <w:rPr>
          <w:spacing w:val="-4"/>
        </w:rPr>
        <w:t>FACP</w:t>
      </w:r>
      <w:r>
        <w:rPr/>
        <w:tab/>
        <w:t>Angela</w:t>
      </w:r>
      <w:r>
        <w:rPr>
          <w:spacing w:val="-3"/>
        </w:rPr>
        <w:t> </w:t>
      </w:r>
      <w:r>
        <w:rPr/>
        <w:t>S.</w:t>
      </w:r>
      <w:r>
        <w:rPr>
          <w:spacing w:val="-1"/>
        </w:rPr>
        <w:t> </w:t>
      </w:r>
      <w:r>
        <w:rPr/>
        <w:t>Jenny,</w:t>
      </w:r>
      <w:r>
        <w:rPr>
          <w:spacing w:val="-1"/>
        </w:rPr>
        <w:t> </w:t>
      </w:r>
      <w:r>
        <w:rPr>
          <w:spacing w:val="-5"/>
        </w:rPr>
        <w:t>DO</w:t>
      </w:r>
    </w:p>
    <w:p>
      <w:pPr>
        <w:pStyle w:val="BodyText"/>
        <w:tabs>
          <w:tab w:pos="5141" w:val="left" w:leader="none"/>
        </w:tabs>
        <w:spacing w:before="22"/>
      </w:pPr>
      <w:r>
        <w:rPr/>
        <w:t>Chief</w:t>
      </w:r>
      <w:r>
        <w:rPr>
          <w:spacing w:val="-4"/>
        </w:rPr>
        <w:t> </w:t>
      </w:r>
      <w:r>
        <w:rPr/>
        <w:t>Medical</w:t>
      </w:r>
      <w:r>
        <w:rPr>
          <w:spacing w:val="-1"/>
        </w:rPr>
        <w:t> </w:t>
      </w:r>
      <w:r>
        <w:rPr>
          <w:spacing w:val="-2"/>
        </w:rPr>
        <w:t>Officer</w:t>
      </w:r>
      <w:r>
        <w:rPr/>
        <w:tab/>
        <w:t>Medical</w:t>
      </w:r>
      <w:r>
        <w:rPr>
          <w:spacing w:val="-5"/>
        </w:rPr>
        <w:t> </w:t>
      </w:r>
      <w:r>
        <w:rPr>
          <w:spacing w:val="-2"/>
        </w:rPr>
        <w:t>Director</w:t>
      </w:r>
    </w:p>
    <w:p>
      <w:pPr>
        <w:pStyle w:val="BodyText"/>
        <w:tabs>
          <w:tab w:pos="5141" w:val="left" w:leader="none"/>
        </w:tabs>
        <w:spacing w:before="21"/>
      </w:pPr>
      <w:r>
        <w:rPr/>
        <w:t>DME</w:t>
      </w:r>
      <w:r>
        <w:rPr>
          <w:spacing w:val="-1"/>
        </w:rPr>
        <w:t> </w:t>
      </w:r>
      <w:r>
        <w:rPr/>
        <w:t>MAC,</w:t>
      </w:r>
      <w:r>
        <w:rPr>
          <w:spacing w:val="-1"/>
        </w:rPr>
        <w:t> </w:t>
      </w:r>
      <w:r>
        <w:rPr/>
        <w:t>Jurisdiction </w:t>
      </w:r>
      <w:r>
        <w:rPr>
          <w:spacing w:val="-10"/>
        </w:rPr>
        <w:t>C</w:t>
      </w:r>
      <w:r>
        <w:rPr/>
        <w:tab/>
        <w:t>DME</w:t>
      </w:r>
      <w:r>
        <w:rPr>
          <w:spacing w:val="-3"/>
        </w:rPr>
        <w:t> </w:t>
      </w:r>
      <w:r>
        <w:rPr/>
        <w:t>MAC,</w:t>
      </w:r>
      <w:r>
        <w:rPr>
          <w:spacing w:val="-1"/>
        </w:rPr>
        <w:t> </w:t>
      </w:r>
      <w:r>
        <w:rPr/>
        <w:t>Jurisdiction </w:t>
      </w:r>
      <w:r>
        <w:rPr>
          <w:spacing w:val="-10"/>
        </w:rPr>
        <w:t>D</w:t>
      </w:r>
    </w:p>
    <w:p>
      <w:pPr>
        <w:pStyle w:val="BodyText"/>
        <w:tabs>
          <w:tab w:pos="5141" w:val="left" w:leader="none"/>
        </w:tabs>
        <w:spacing w:before="22"/>
      </w:pPr>
      <w:r>
        <w:rPr/>
        <w:t>CGS </w:t>
      </w:r>
      <w:r>
        <w:rPr>
          <w:spacing w:val="-2"/>
        </w:rPr>
        <w:t>Administrators</w:t>
      </w:r>
      <w:r>
        <w:rPr/>
        <w:tab/>
        <w:t>Noridian,</w:t>
      </w:r>
      <w:r>
        <w:rPr>
          <w:spacing w:val="-5"/>
        </w:rPr>
        <w:t> LLC</w:t>
      </w:r>
    </w:p>
    <w:p>
      <w:pPr>
        <w:pStyle w:val="BodyText"/>
        <w:tabs>
          <w:tab w:pos="5141" w:val="left" w:leader="none"/>
        </w:tabs>
        <w:spacing w:before="22"/>
      </w:pPr>
      <w:r>
        <w:rPr/>
        <w:t>26</w:t>
      </w:r>
      <w:r>
        <w:rPr>
          <w:spacing w:val="-1"/>
        </w:rPr>
        <w:t> </w:t>
      </w:r>
      <w:r>
        <w:rPr/>
        <w:t>Century Blvd., Ste. </w:t>
      </w:r>
      <w:r>
        <w:rPr>
          <w:spacing w:val="-2"/>
        </w:rPr>
        <w:t>ST610</w:t>
      </w:r>
      <w:r>
        <w:rPr/>
        <w:tab/>
        <w:t>PO</w:t>
      </w:r>
      <w:r>
        <w:rPr>
          <w:spacing w:val="-2"/>
        </w:rPr>
        <w:t> </w:t>
      </w:r>
      <w:r>
        <w:rPr/>
        <w:t>Box </w:t>
      </w:r>
      <w:r>
        <w:rPr>
          <w:spacing w:val="-4"/>
        </w:rPr>
        <w:t>6742</w:t>
      </w:r>
    </w:p>
    <w:p>
      <w:pPr>
        <w:pStyle w:val="BodyText"/>
        <w:tabs>
          <w:tab w:pos="5141" w:val="left" w:leader="none"/>
        </w:tabs>
        <w:spacing w:before="21"/>
      </w:pPr>
      <w:r>
        <w:rPr/>
        <w:t>Nashville,</w:t>
      </w:r>
      <w:r>
        <w:rPr>
          <w:spacing w:val="-4"/>
        </w:rPr>
        <w:t> </w:t>
      </w:r>
      <w:r>
        <w:rPr/>
        <w:t>TN |</w:t>
      </w:r>
      <w:r>
        <w:rPr>
          <w:spacing w:val="-3"/>
        </w:rPr>
        <w:t> </w:t>
      </w:r>
      <w:r>
        <w:rPr>
          <w:spacing w:val="-2"/>
        </w:rPr>
        <w:t>37214</w:t>
      </w:r>
      <w:r>
        <w:rPr/>
        <w:tab/>
        <w:t>Fargo,</w:t>
      </w:r>
      <w:r>
        <w:rPr>
          <w:spacing w:val="-1"/>
        </w:rPr>
        <w:t> </w:t>
      </w:r>
      <w:r>
        <w:rPr/>
        <w:t>ND |</w:t>
      </w:r>
      <w:r>
        <w:rPr>
          <w:spacing w:val="-3"/>
        </w:rPr>
        <w:t> </w:t>
      </w:r>
      <w:r>
        <w:rPr>
          <w:spacing w:val="-2"/>
        </w:rPr>
        <w:t>58108</w:t>
      </w:r>
    </w:p>
    <w:p>
      <w:pPr>
        <w:pStyle w:val="BodyText"/>
        <w:spacing w:before="43"/>
        <w:ind w:left="0"/>
      </w:pPr>
    </w:p>
    <w:p>
      <w:pPr>
        <w:pStyle w:val="Heading1"/>
        <w:tabs>
          <w:tab w:pos="820" w:val="left" w:leader="none"/>
        </w:tabs>
        <w:spacing w:before="1"/>
        <w:ind w:left="820" w:right="890" w:hanging="720"/>
        <w:rPr>
          <w:u w:val="none"/>
        </w:rPr>
      </w:pPr>
      <w:r>
        <w:rPr>
          <w:spacing w:val="-4"/>
          <w:u w:val="none"/>
        </w:rPr>
        <w:t>RE:</w:t>
      </w:r>
      <w:r>
        <w:rPr>
          <w:u w:val="none"/>
        </w:rPr>
        <w:tab/>
      </w:r>
      <w:r>
        <w:rPr>
          <w:u w:val="single"/>
        </w:rPr>
        <w:t>ITEM</w:t>
      </w:r>
      <w:r>
        <w:rPr>
          <w:spacing w:val="-5"/>
          <w:u w:val="single"/>
        </w:rPr>
        <w:t> </w:t>
      </w:r>
      <w:r>
        <w:rPr>
          <w:u w:val="single"/>
        </w:rPr>
        <w:t>Coalition’s</w:t>
      </w:r>
      <w:r>
        <w:rPr>
          <w:spacing w:val="-5"/>
          <w:u w:val="single"/>
        </w:rPr>
        <w:t> </w:t>
      </w:r>
      <w:r>
        <w:rPr>
          <w:u w:val="single"/>
        </w:rPr>
        <w:t>Public</w:t>
      </w:r>
      <w:r>
        <w:rPr>
          <w:spacing w:val="-5"/>
          <w:u w:val="single"/>
        </w:rPr>
        <w:t> </w:t>
      </w:r>
      <w:r>
        <w:rPr>
          <w:u w:val="single"/>
        </w:rPr>
        <w:t>Comments</w:t>
      </w:r>
      <w:r>
        <w:rPr>
          <w:spacing w:val="-4"/>
          <w:u w:val="single"/>
        </w:rPr>
        <w:t> </w:t>
      </w:r>
      <w:r>
        <w:rPr>
          <w:u w:val="single"/>
        </w:rPr>
        <w:t>for</w:t>
      </w:r>
      <w:r>
        <w:rPr>
          <w:spacing w:val="-6"/>
          <w:u w:val="single"/>
        </w:rPr>
        <w:t> </w:t>
      </w:r>
      <w:r>
        <w:rPr>
          <w:u w:val="single"/>
        </w:rPr>
        <w:t>Proposed</w:t>
      </w:r>
      <w:r>
        <w:rPr>
          <w:spacing w:val="-4"/>
          <w:u w:val="single"/>
        </w:rPr>
        <w:t> </w:t>
      </w:r>
      <w:r>
        <w:rPr>
          <w:u w:val="single"/>
        </w:rPr>
        <w:t>LCD</w:t>
      </w:r>
      <w:r>
        <w:rPr>
          <w:spacing w:val="-4"/>
          <w:u w:val="single"/>
        </w:rPr>
        <w:t> </w:t>
      </w:r>
      <w:r>
        <w:rPr>
          <w:u w:val="single"/>
        </w:rPr>
        <w:t>-</w:t>
      </w:r>
      <w:r>
        <w:rPr>
          <w:spacing w:val="-5"/>
          <w:u w:val="single"/>
        </w:rPr>
        <w:t> </w:t>
      </w:r>
      <w:r>
        <w:rPr>
          <w:u w:val="single"/>
        </w:rPr>
        <w:t>Urological</w:t>
      </w:r>
      <w:r>
        <w:rPr>
          <w:spacing w:val="-4"/>
          <w:u w:val="single"/>
        </w:rPr>
        <w:t> </w:t>
      </w:r>
      <w:r>
        <w:rPr>
          <w:u w:val="single"/>
        </w:rPr>
        <w:t>Supplies</w:t>
      </w:r>
      <w:r>
        <w:rPr>
          <w:u w:val="none"/>
        </w:rPr>
        <w:t> </w:t>
      </w:r>
      <w:r>
        <w:rPr>
          <w:spacing w:val="-2"/>
          <w:u w:val="single"/>
        </w:rPr>
        <w:t>(DL33803)</w:t>
      </w:r>
    </w:p>
    <w:p>
      <w:pPr>
        <w:pStyle w:val="BodyText"/>
        <w:ind w:left="0"/>
        <w:rPr>
          <w:b/>
        </w:rPr>
      </w:pPr>
    </w:p>
    <w:p>
      <w:pPr>
        <w:pStyle w:val="BodyText"/>
      </w:pPr>
      <w:r>
        <w:rPr/>
        <w:t>Dear</w:t>
      </w:r>
      <w:r>
        <w:rPr>
          <w:spacing w:val="-2"/>
        </w:rPr>
        <w:t> </w:t>
      </w:r>
      <w:r>
        <w:rPr/>
        <w:t>Drs.</w:t>
      </w:r>
      <w:r>
        <w:rPr>
          <w:spacing w:val="-2"/>
        </w:rPr>
        <w:t> </w:t>
      </w:r>
      <w:r>
        <w:rPr/>
        <w:t>Ballyamanda,</w:t>
      </w:r>
      <w:r>
        <w:rPr>
          <w:spacing w:val="-1"/>
        </w:rPr>
        <w:t> </w:t>
      </w:r>
      <w:r>
        <w:rPr/>
        <w:t>Lalla,</w:t>
      </w:r>
      <w:r>
        <w:rPr>
          <w:spacing w:val="-3"/>
        </w:rPr>
        <w:t> </w:t>
      </w:r>
      <w:r>
        <w:rPr/>
        <w:t>Hoover</w:t>
      </w:r>
      <w:r>
        <w:rPr>
          <w:spacing w:val="-1"/>
        </w:rPr>
        <w:t> </w:t>
      </w:r>
      <w:r>
        <w:rPr/>
        <w:t>and</w:t>
      </w:r>
      <w:r>
        <w:rPr>
          <w:spacing w:val="-2"/>
        </w:rPr>
        <w:t> Jenny:</w:t>
      </w:r>
    </w:p>
    <w:p>
      <w:pPr>
        <w:pStyle w:val="BodyText"/>
        <w:ind w:left="0"/>
      </w:pPr>
    </w:p>
    <w:p>
      <w:pPr>
        <w:pStyle w:val="BodyText"/>
      </w:pPr>
      <w:r>
        <w:rPr/>
        <w:t>The</w:t>
      </w:r>
      <w:r>
        <w:rPr>
          <w:spacing w:val="-3"/>
        </w:rPr>
        <w:t> </w:t>
      </w:r>
      <w:r>
        <w:rPr/>
        <w:t>undersigned</w:t>
      </w:r>
      <w:r>
        <w:rPr>
          <w:spacing w:val="-1"/>
        </w:rPr>
        <w:t> </w:t>
      </w:r>
      <w:r>
        <w:rPr/>
        <w:t>members</w:t>
      </w:r>
      <w:r>
        <w:rPr>
          <w:spacing w:val="-1"/>
        </w:rPr>
        <w:t> </w:t>
      </w:r>
      <w:r>
        <w:rPr/>
        <w:t>of the Independence</w:t>
      </w:r>
      <w:r>
        <w:rPr>
          <w:spacing w:val="-2"/>
        </w:rPr>
        <w:t> </w:t>
      </w:r>
      <w:r>
        <w:rPr/>
        <w:t>Through</w:t>
      </w:r>
      <w:r>
        <w:rPr>
          <w:spacing w:val="-1"/>
        </w:rPr>
        <w:t> </w:t>
      </w:r>
      <w:r>
        <w:rPr/>
        <w:t>Enhancement</w:t>
      </w:r>
      <w:r>
        <w:rPr>
          <w:spacing w:val="-1"/>
        </w:rPr>
        <w:t> </w:t>
      </w:r>
      <w:r>
        <w:rPr/>
        <w:t>of Medicare</w:t>
      </w:r>
      <w:r>
        <w:rPr>
          <w:spacing w:val="-1"/>
        </w:rPr>
        <w:t> </w:t>
      </w:r>
      <w:r>
        <w:rPr>
          <w:spacing w:val="-5"/>
        </w:rPr>
        <w:t>and</w:t>
      </w:r>
    </w:p>
    <w:p>
      <w:pPr>
        <w:pStyle w:val="BodyText"/>
        <w:ind w:right="138"/>
      </w:pPr>
      <w:r>
        <w:rPr/>
        <w:t>Medicaid (“ITEM”) Coalition strongly support the expansion of Medicare coverage of sterile intermittent</w:t>
      </w:r>
      <w:r>
        <w:rPr>
          <w:spacing w:val="-3"/>
        </w:rPr>
        <w:t> </w:t>
      </w:r>
      <w:r>
        <w:rPr/>
        <w:t>catheter</w:t>
      </w:r>
      <w:r>
        <w:rPr>
          <w:spacing w:val="-3"/>
        </w:rPr>
        <w:t> </w:t>
      </w:r>
      <w:r>
        <w:rPr/>
        <w:t>kits</w:t>
      </w:r>
      <w:r>
        <w:rPr>
          <w:spacing w:val="-1"/>
        </w:rPr>
        <w:t> </w:t>
      </w:r>
      <w:r>
        <w:rPr/>
        <w:t>for</w:t>
      </w:r>
      <w:r>
        <w:rPr>
          <w:spacing w:val="-5"/>
        </w:rPr>
        <w:t> </w:t>
      </w:r>
      <w:r>
        <w:rPr/>
        <w:t>individuals</w:t>
      </w:r>
      <w:r>
        <w:rPr>
          <w:spacing w:val="-4"/>
        </w:rPr>
        <w:t> </w:t>
      </w:r>
      <w:r>
        <w:rPr/>
        <w:t>with</w:t>
      </w:r>
      <w:r>
        <w:rPr>
          <w:spacing w:val="-3"/>
        </w:rPr>
        <w:t> </w:t>
      </w:r>
      <w:r>
        <w:rPr/>
        <w:t>a</w:t>
      </w:r>
      <w:r>
        <w:rPr>
          <w:spacing w:val="-4"/>
        </w:rPr>
        <w:t> </w:t>
      </w:r>
      <w:r>
        <w:rPr/>
        <w:t>spinal</w:t>
      </w:r>
      <w:r>
        <w:rPr>
          <w:spacing w:val="-3"/>
        </w:rPr>
        <w:t> </w:t>
      </w:r>
      <w:r>
        <w:rPr/>
        <w:t>cord</w:t>
      </w:r>
      <w:r>
        <w:rPr>
          <w:spacing w:val="-3"/>
        </w:rPr>
        <w:t> </w:t>
      </w:r>
      <w:r>
        <w:rPr/>
        <w:t>injury</w:t>
      </w:r>
      <w:r>
        <w:rPr>
          <w:spacing w:val="-3"/>
        </w:rPr>
        <w:t> </w:t>
      </w:r>
      <w:r>
        <w:rPr/>
        <w:t>(“SCI”)</w:t>
      </w:r>
      <w:r>
        <w:rPr>
          <w:spacing w:val="-3"/>
        </w:rPr>
        <w:t> </w:t>
      </w:r>
      <w:r>
        <w:rPr/>
        <w:t>regardless</w:t>
      </w:r>
      <w:r>
        <w:rPr>
          <w:spacing w:val="-4"/>
        </w:rPr>
        <w:t> </w:t>
      </w:r>
      <w:r>
        <w:rPr/>
        <w:t>of</w:t>
      </w:r>
      <w:r>
        <w:rPr>
          <w:spacing w:val="-3"/>
        </w:rPr>
        <w:t> </w:t>
      </w:r>
      <w:r>
        <w:rPr/>
        <w:t>the</w:t>
      </w:r>
      <w:r>
        <w:rPr>
          <w:spacing w:val="-4"/>
        </w:rPr>
        <w:t> </w:t>
      </w:r>
      <w:r>
        <w:rPr/>
        <w:t>level of injury.</w:t>
      </w:r>
      <w:r>
        <w:rPr>
          <w:spacing w:val="40"/>
        </w:rPr>
        <w:t> </w:t>
      </w:r>
      <w:r>
        <w:rPr/>
        <w:t>While we support the proposed changes to the Local Coverage Determination</w:t>
      </w:r>
    </w:p>
    <w:p>
      <w:pPr>
        <w:pStyle w:val="BodyText"/>
        <w:ind w:right="149"/>
      </w:pPr>
      <w:r>
        <w:rPr/>
        <w:t>(“LCD,”</w:t>
      </w:r>
      <w:r>
        <w:rPr>
          <w:spacing w:val="-5"/>
        </w:rPr>
        <w:t> </w:t>
      </w:r>
      <w:r>
        <w:rPr/>
        <w:t>specifically,</w:t>
      </w:r>
      <w:r>
        <w:rPr>
          <w:spacing w:val="-4"/>
        </w:rPr>
        <w:t> </w:t>
      </w:r>
      <w:r>
        <w:rPr/>
        <w:t>DL33803),</w:t>
      </w:r>
      <w:r>
        <w:rPr>
          <w:spacing w:val="-4"/>
        </w:rPr>
        <w:t> </w:t>
      </w:r>
      <w:r>
        <w:rPr/>
        <w:t>we</w:t>
      </w:r>
      <w:r>
        <w:rPr>
          <w:spacing w:val="-5"/>
        </w:rPr>
        <w:t> </w:t>
      </w:r>
      <w:r>
        <w:rPr/>
        <w:t>respectfully</w:t>
      </w:r>
      <w:r>
        <w:rPr>
          <w:spacing w:val="-4"/>
        </w:rPr>
        <w:t> </w:t>
      </w:r>
      <w:r>
        <w:rPr/>
        <w:t>urge</w:t>
      </w:r>
      <w:r>
        <w:rPr>
          <w:spacing w:val="-6"/>
        </w:rPr>
        <w:t> </w:t>
      </w:r>
      <w:r>
        <w:rPr/>
        <w:t>the</w:t>
      </w:r>
      <w:r>
        <w:rPr>
          <w:spacing w:val="-4"/>
        </w:rPr>
        <w:t> </w:t>
      </w:r>
      <w:r>
        <w:rPr/>
        <w:t>Durable</w:t>
      </w:r>
      <w:r>
        <w:rPr>
          <w:spacing w:val="-4"/>
        </w:rPr>
        <w:t> </w:t>
      </w:r>
      <w:r>
        <w:rPr/>
        <w:t>Medical</w:t>
      </w:r>
      <w:r>
        <w:rPr>
          <w:spacing w:val="-2"/>
        </w:rPr>
        <w:t> </w:t>
      </w:r>
      <w:r>
        <w:rPr/>
        <w:t>Equipment</w:t>
      </w:r>
      <w:r>
        <w:rPr>
          <w:spacing w:val="-4"/>
        </w:rPr>
        <w:t> </w:t>
      </w:r>
      <w:r>
        <w:rPr/>
        <w:t>Medicare Administrative Contractors (“DME MACs”) to go further in the final LCD or in future LCDs to consider evidence demonstrating that coverage should be expanded to all individuals with neurogenic bladder regardless of etiology, including congenital conditions.</w:t>
      </w:r>
    </w:p>
    <w:p>
      <w:pPr>
        <w:pStyle w:val="BodyText"/>
        <w:spacing w:before="1"/>
        <w:ind w:left="0"/>
      </w:pPr>
    </w:p>
    <w:p>
      <w:pPr>
        <w:pStyle w:val="BodyText"/>
        <w:ind w:right="138"/>
      </w:pPr>
      <w:r>
        <w:rPr/>
        <w:t>The ITEM Coalition is a national consumer- and clinician-led coalition advocating for access to and coverage of assistive devices, technologies, and related services for persons with injuries, illnesses, disabilities, and chronic conditions of all ages.</w:t>
      </w:r>
      <w:r>
        <w:rPr>
          <w:spacing w:val="80"/>
        </w:rPr>
        <w:t> </w:t>
      </w:r>
      <w:r>
        <w:rPr/>
        <w:t>Our members represent individuals with a wide range of disabling conditions, as well as the providers who serve them, including spinal cord injury, spina bifida, multiple sclerosis, stroke, paralysis, brain injury, limb loss and limb</w:t>
      </w:r>
      <w:r>
        <w:rPr>
          <w:spacing w:val="-3"/>
        </w:rPr>
        <w:t> </w:t>
      </w:r>
      <w:r>
        <w:rPr/>
        <w:t>difference,</w:t>
      </w:r>
      <w:r>
        <w:rPr>
          <w:spacing w:val="-3"/>
        </w:rPr>
        <w:t> </w:t>
      </w:r>
      <w:r>
        <w:rPr/>
        <w:t>cerebral</w:t>
      </w:r>
      <w:r>
        <w:rPr>
          <w:spacing w:val="-2"/>
        </w:rPr>
        <w:t> </w:t>
      </w:r>
      <w:r>
        <w:rPr/>
        <w:t>palsy,</w:t>
      </w:r>
      <w:r>
        <w:rPr>
          <w:spacing w:val="-3"/>
        </w:rPr>
        <w:t> </w:t>
      </w:r>
      <w:r>
        <w:rPr/>
        <w:t>hearing,</w:t>
      </w:r>
      <w:r>
        <w:rPr>
          <w:spacing w:val="-3"/>
        </w:rPr>
        <w:t> </w:t>
      </w:r>
      <w:r>
        <w:rPr/>
        <w:t>speech,</w:t>
      </w:r>
      <w:r>
        <w:rPr>
          <w:spacing w:val="-3"/>
        </w:rPr>
        <w:t> </w:t>
      </w:r>
      <w:r>
        <w:rPr/>
        <w:t>and</w:t>
      </w:r>
      <w:r>
        <w:rPr>
          <w:spacing w:val="-3"/>
        </w:rPr>
        <w:t> </w:t>
      </w:r>
      <w:r>
        <w:rPr/>
        <w:t>visual</w:t>
      </w:r>
      <w:r>
        <w:rPr>
          <w:spacing w:val="-3"/>
        </w:rPr>
        <w:t> </w:t>
      </w:r>
      <w:r>
        <w:rPr/>
        <w:t>impairments,</w:t>
      </w:r>
      <w:r>
        <w:rPr>
          <w:spacing w:val="-3"/>
        </w:rPr>
        <w:t> </w:t>
      </w:r>
      <w:r>
        <w:rPr/>
        <w:t>myositis,</w:t>
      </w:r>
      <w:r>
        <w:rPr>
          <w:spacing w:val="-3"/>
        </w:rPr>
        <w:t> </w:t>
      </w:r>
      <w:r>
        <w:rPr/>
        <w:t>and</w:t>
      </w:r>
      <w:r>
        <w:rPr>
          <w:spacing w:val="-3"/>
        </w:rPr>
        <w:t> </w:t>
      </w:r>
      <w:r>
        <w:rPr/>
        <w:t>other</w:t>
      </w:r>
      <w:r>
        <w:rPr>
          <w:spacing w:val="-5"/>
        </w:rPr>
        <w:t> </w:t>
      </w:r>
      <w:r>
        <w:rPr/>
        <w:t>life- altering conditions.</w:t>
      </w:r>
    </w:p>
    <w:p>
      <w:pPr>
        <w:pStyle w:val="BodyText"/>
        <w:ind w:left="0"/>
      </w:pPr>
    </w:p>
    <w:p>
      <w:pPr>
        <w:pStyle w:val="BodyText"/>
      </w:pPr>
      <w:r>
        <w:rPr/>
        <w:t>Bladder</w:t>
      </w:r>
      <w:r>
        <w:rPr>
          <w:spacing w:val="-3"/>
        </w:rPr>
        <w:t> </w:t>
      </w:r>
      <w:r>
        <w:rPr/>
        <w:t>management</w:t>
      </w:r>
      <w:r>
        <w:rPr>
          <w:spacing w:val="-3"/>
        </w:rPr>
        <w:t> </w:t>
      </w:r>
      <w:r>
        <w:rPr/>
        <w:t>for</w:t>
      </w:r>
      <w:r>
        <w:rPr>
          <w:spacing w:val="-2"/>
        </w:rPr>
        <w:t> </w:t>
      </w:r>
      <w:r>
        <w:rPr/>
        <w:t>individuals</w:t>
      </w:r>
      <w:r>
        <w:rPr>
          <w:spacing w:val="-3"/>
        </w:rPr>
        <w:t> </w:t>
      </w:r>
      <w:r>
        <w:rPr/>
        <w:t>with</w:t>
      </w:r>
      <w:r>
        <w:rPr>
          <w:spacing w:val="-3"/>
        </w:rPr>
        <w:t> </w:t>
      </w:r>
      <w:r>
        <w:rPr/>
        <w:t>SCI</w:t>
      </w:r>
      <w:r>
        <w:rPr>
          <w:spacing w:val="-7"/>
        </w:rPr>
        <w:t> </w:t>
      </w:r>
      <w:r>
        <w:rPr/>
        <w:t>is</w:t>
      </w:r>
      <w:r>
        <w:rPr>
          <w:spacing w:val="-3"/>
        </w:rPr>
        <w:t> </w:t>
      </w:r>
      <w:r>
        <w:rPr/>
        <w:t>routinely</w:t>
      </w:r>
      <w:r>
        <w:rPr>
          <w:spacing w:val="-3"/>
        </w:rPr>
        <w:t> </w:t>
      </w:r>
      <w:r>
        <w:rPr/>
        <w:t>identified</w:t>
      </w:r>
      <w:r>
        <w:rPr>
          <w:spacing w:val="-3"/>
        </w:rPr>
        <w:t> </w:t>
      </w:r>
      <w:r>
        <w:rPr/>
        <w:t>by</w:t>
      </w:r>
      <w:r>
        <w:rPr>
          <w:spacing w:val="-3"/>
        </w:rPr>
        <w:t> </w:t>
      </w:r>
      <w:r>
        <w:rPr/>
        <w:t>this</w:t>
      </w:r>
      <w:r>
        <w:rPr>
          <w:spacing w:val="-3"/>
        </w:rPr>
        <w:t> </w:t>
      </w:r>
      <w:r>
        <w:rPr/>
        <w:t>population</w:t>
      </w:r>
      <w:r>
        <w:rPr>
          <w:spacing w:val="-3"/>
        </w:rPr>
        <w:t> </w:t>
      </w:r>
      <w:r>
        <w:rPr/>
        <w:t>as</w:t>
      </w:r>
      <w:r>
        <w:rPr>
          <w:spacing w:val="-3"/>
        </w:rPr>
        <w:t> </w:t>
      </w:r>
      <w:r>
        <w:rPr/>
        <w:t>one</w:t>
      </w:r>
      <w:r>
        <w:rPr>
          <w:spacing w:val="-4"/>
        </w:rPr>
        <w:t> </w:t>
      </w:r>
      <w:r>
        <w:rPr/>
        <w:t>of the most vexing challenges in maintaining a high quality of life and functioning independently.</w:t>
      </w:r>
    </w:p>
    <w:p>
      <w:pPr>
        <w:pStyle w:val="BodyText"/>
        <w:spacing w:before="144"/>
        <w:ind w:left="0"/>
        <w:rPr>
          <w:sz w:val="22"/>
        </w:rPr>
      </w:pPr>
    </w:p>
    <w:p>
      <w:pPr>
        <w:spacing w:line="285" w:lineRule="exact" w:before="0"/>
        <w:ind w:left="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7">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40"/>
        </w:sectPr>
      </w:pPr>
    </w:p>
    <w:p>
      <w:pPr>
        <w:pStyle w:val="BodyText"/>
        <w:spacing w:before="79"/>
        <w:ind w:right="109"/>
      </w:pPr>
      <w:r>
        <w:rPr/>
        <w:t>We applaud the DME MACs for proposing to expand Medicare coverage of sterile intermittent catheter kits.</w:t>
      </w:r>
      <w:r>
        <w:rPr>
          <w:spacing w:val="40"/>
        </w:rPr>
        <w:t> </w:t>
      </w:r>
      <w:r>
        <w:rPr/>
        <w:t>The existing coverage criteria set forth in the LCD on Urological Supplies is not evidence based and is unnecessarily restrictive, creating confusion among suppliers and preventing certain patients with an SCI from accessing sterile catheter kits.</w:t>
      </w:r>
      <w:r>
        <w:rPr>
          <w:spacing w:val="40"/>
        </w:rPr>
        <w:t> </w:t>
      </w:r>
      <w:r>
        <w:rPr/>
        <w:t>Access to sterile intermittent</w:t>
      </w:r>
      <w:r>
        <w:rPr>
          <w:spacing w:val="-3"/>
        </w:rPr>
        <w:t> </w:t>
      </w:r>
      <w:r>
        <w:rPr/>
        <w:t>catheter</w:t>
      </w:r>
      <w:r>
        <w:rPr>
          <w:spacing w:val="-3"/>
        </w:rPr>
        <w:t> </w:t>
      </w:r>
      <w:r>
        <w:rPr/>
        <w:t>kits</w:t>
      </w:r>
      <w:r>
        <w:rPr>
          <w:spacing w:val="-1"/>
        </w:rPr>
        <w:t> </w:t>
      </w:r>
      <w:r>
        <w:rPr/>
        <w:t>is</w:t>
      </w:r>
      <w:r>
        <w:rPr>
          <w:spacing w:val="-3"/>
        </w:rPr>
        <w:t> </w:t>
      </w:r>
      <w:r>
        <w:rPr/>
        <w:t>essential</w:t>
      </w:r>
      <w:r>
        <w:rPr>
          <w:spacing w:val="-1"/>
        </w:rPr>
        <w:t> </w:t>
      </w:r>
      <w:r>
        <w:rPr/>
        <w:t>for</w:t>
      </w:r>
      <w:r>
        <w:rPr>
          <w:spacing w:val="-5"/>
        </w:rPr>
        <w:t> </w:t>
      </w:r>
      <w:r>
        <w:rPr/>
        <w:t>beneficiaries</w:t>
      </w:r>
      <w:r>
        <w:rPr>
          <w:spacing w:val="-3"/>
        </w:rPr>
        <w:t> </w:t>
      </w:r>
      <w:r>
        <w:rPr/>
        <w:t>with</w:t>
      </w:r>
      <w:r>
        <w:rPr>
          <w:spacing w:val="-3"/>
        </w:rPr>
        <w:t> </w:t>
      </w:r>
      <w:r>
        <w:rPr/>
        <w:t>certain</w:t>
      </w:r>
      <w:r>
        <w:rPr>
          <w:spacing w:val="-3"/>
        </w:rPr>
        <w:t> </w:t>
      </w:r>
      <w:r>
        <w:rPr/>
        <w:t>conditions</w:t>
      </w:r>
      <w:r>
        <w:rPr>
          <w:spacing w:val="-3"/>
        </w:rPr>
        <w:t> </w:t>
      </w:r>
      <w:r>
        <w:rPr/>
        <w:t>such</w:t>
      </w:r>
      <w:r>
        <w:rPr>
          <w:spacing w:val="-3"/>
        </w:rPr>
        <w:t> </w:t>
      </w:r>
      <w:r>
        <w:rPr/>
        <w:t>as</w:t>
      </w:r>
      <w:r>
        <w:rPr>
          <w:spacing w:val="-3"/>
        </w:rPr>
        <w:t> </w:t>
      </w:r>
      <w:r>
        <w:rPr/>
        <w:t>SCI,</w:t>
      </w:r>
      <w:r>
        <w:rPr>
          <w:spacing w:val="-1"/>
        </w:rPr>
        <w:t> </w:t>
      </w:r>
      <w:r>
        <w:rPr/>
        <w:t>as</w:t>
      </w:r>
      <w:r>
        <w:rPr>
          <w:spacing w:val="-3"/>
        </w:rPr>
        <w:t> </w:t>
      </w:r>
      <w:r>
        <w:rPr/>
        <w:t>they significantly reduce the risk of urinary tract infections (“UTIs”).</w:t>
      </w:r>
      <w:r>
        <w:rPr>
          <w:spacing w:val="40"/>
        </w:rPr>
        <w:t> </w:t>
      </w:r>
      <w:r>
        <w:rPr/>
        <w:t>Without access to sterile intermittent catheter kits, patients are placed at heightened risk of serious complications, while the</w:t>
      </w:r>
      <w:r>
        <w:rPr>
          <w:spacing w:val="-1"/>
        </w:rPr>
        <w:t> </w:t>
      </w:r>
      <w:r>
        <w:rPr/>
        <w:t>Medicare</w:t>
      </w:r>
      <w:r>
        <w:rPr>
          <w:spacing w:val="-1"/>
        </w:rPr>
        <w:t> </w:t>
      </w:r>
      <w:r>
        <w:rPr/>
        <w:t>program incurs greater costs associated with preventable</w:t>
      </w:r>
      <w:r>
        <w:rPr>
          <w:spacing w:val="-1"/>
        </w:rPr>
        <w:t> </w:t>
      </w:r>
      <w:r>
        <w:rPr/>
        <w:t>infections and emergency </w:t>
      </w:r>
      <w:r>
        <w:rPr>
          <w:spacing w:val="-2"/>
        </w:rPr>
        <w:t>interventions.</w:t>
      </w:r>
    </w:p>
    <w:p>
      <w:pPr>
        <w:pStyle w:val="BodyText"/>
        <w:ind w:left="0"/>
      </w:pPr>
    </w:p>
    <w:p>
      <w:pPr>
        <w:pStyle w:val="BodyText"/>
        <w:ind w:right="133"/>
      </w:pPr>
      <w:r>
        <w:rPr/>
        <w:t>Accordingly, we greatly appreciate the DME MACs’ efforts to expand coverage of sterile</w:t>
      </w:r>
      <w:r>
        <w:rPr>
          <w:spacing w:val="40"/>
        </w:rPr>
        <w:t> </w:t>
      </w:r>
      <w:r>
        <w:rPr/>
        <w:t>urinary catheter kits to include immunosuppressed beneficiaries with an SCI at any level.</w:t>
      </w:r>
      <w:r>
        <w:rPr>
          <w:spacing w:val="40"/>
        </w:rPr>
        <w:t> </w:t>
      </w:r>
      <w:r>
        <w:rPr/>
        <w:t>This represents a critically important step toward aligning policy with both clinical evidence and patient</w:t>
      </w:r>
      <w:r>
        <w:rPr>
          <w:spacing w:val="-3"/>
        </w:rPr>
        <w:t> </w:t>
      </w:r>
      <w:r>
        <w:rPr/>
        <w:t>need.</w:t>
      </w:r>
      <w:r>
        <w:rPr>
          <w:spacing w:val="40"/>
        </w:rPr>
        <w:t> </w:t>
      </w:r>
      <w:r>
        <w:rPr/>
        <w:t>The</w:t>
      </w:r>
      <w:r>
        <w:rPr>
          <w:spacing w:val="-2"/>
        </w:rPr>
        <w:t> </w:t>
      </w:r>
      <w:r>
        <w:rPr/>
        <w:t>clinical</w:t>
      </w:r>
      <w:r>
        <w:rPr>
          <w:spacing w:val="-2"/>
        </w:rPr>
        <w:t> </w:t>
      </w:r>
      <w:r>
        <w:rPr/>
        <w:t>literature</w:t>
      </w:r>
      <w:r>
        <w:rPr>
          <w:spacing w:val="-5"/>
        </w:rPr>
        <w:t> </w:t>
      </w:r>
      <w:r>
        <w:rPr/>
        <w:t>clearly</w:t>
      </w:r>
      <w:r>
        <w:rPr>
          <w:spacing w:val="-3"/>
        </w:rPr>
        <w:t> </w:t>
      </w:r>
      <w:r>
        <w:rPr/>
        <w:t>demonstrates</w:t>
      </w:r>
      <w:r>
        <w:rPr>
          <w:spacing w:val="-3"/>
        </w:rPr>
        <w:t> </w:t>
      </w:r>
      <w:r>
        <w:rPr/>
        <w:t>that</w:t>
      </w:r>
      <w:r>
        <w:rPr>
          <w:spacing w:val="-3"/>
        </w:rPr>
        <w:t> </w:t>
      </w:r>
      <w:r>
        <w:rPr/>
        <w:t>sustaining</w:t>
      </w:r>
      <w:r>
        <w:rPr>
          <w:spacing w:val="-3"/>
        </w:rPr>
        <w:t> </w:t>
      </w:r>
      <w:r>
        <w:rPr/>
        <w:t>an</w:t>
      </w:r>
      <w:r>
        <w:rPr>
          <w:spacing w:val="-3"/>
        </w:rPr>
        <w:t> </w:t>
      </w:r>
      <w:r>
        <w:rPr/>
        <w:t>SCI</w:t>
      </w:r>
      <w:r>
        <w:rPr>
          <w:spacing w:val="-7"/>
        </w:rPr>
        <w:t> </w:t>
      </w:r>
      <w:r>
        <w:rPr/>
        <w:t>inherently</w:t>
      </w:r>
      <w:r>
        <w:rPr>
          <w:spacing w:val="-3"/>
        </w:rPr>
        <w:t> </w:t>
      </w:r>
      <w:r>
        <w:rPr/>
        <w:t>results in immunosuppression.</w:t>
      </w:r>
      <w:r>
        <w:rPr>
          <w:spacing w:val="40"/>
        </w:rPr>
        <w:t> </w:t>
      </w:r>
      <w:r>
        <w:rPr/>
        <w:t>We believe this should be the standard for coverage, i.e., that every beneficiary with SCI should be considered immunosuppressed and eligible for sterile catheter </w:t>
      </w:r>
      <w:r>
        <w:rPr>
          <w:spacing w:val="-2"/>
        </w:rPr>
        <w:t>kits.</w:t>
      </w:r>
    </w:p>
    <w:p>
      <w:pPr>
        <w:pStyle w:val="BodyText"/>
        <w:spacing w:before="1"/>
        <w:ind w:left="0"/>
      </w:pPr>
    </w:p>
    <w:p>
      <w:pPr>
        <w:pStyle w:val="BodyText"/>
        <w:ind w:right="138"/>
      </w:pPr>
      <w:r>
        <w:rPr/>
        <w:t>If</w:t>
      </w:r>
      <w:r>
        <w:rPr>
          <w:spacing w:val="-2"/>
        </w:rPr>
        <w:t> </w:t>
      </w:r>
      <w:r>
        <w:rPr/>
        <w:t>the DME MACs require</w:t>
      </w:r>
      <w:r>
        <w:rPr>
          <w:spacing w:val="-1"/>
        </w:rPr>
        <w:t> </w:t>
      </w:r>
      <w:r>
        <w:rPr/>
        <w:t>additional documentation to demonstrate</w:t>
      </w:r>
      <w:r>
        <w:rPr>
          <w:spacing w:val="-1"/>
        </w:rPr>
        <w:t> </w:t>
      </w:r>
      <w:r>
        <w:rPr/>
        <w:t>immunosuppression in the SCI patient population, we urge the DME MAC Medical Directors to provide explicit clarification regarding the documentation required to meet this coverage standard.</w:t>
      </w:r>
      <w:r>
        <w:rPr>
          <w:spacing w:val="40"/>
        </w:rPr>
        <w:t> </w:t>
      </w:r>
      <w:r>
        <w:rPr/>
        <w:t>We are concerned</w:t>
      </w:r>
      <w:r>
        <w:rPr>
          <w:spacing w:val="-4"/>
        </w:rPr>
        <w:t> </w:t>
      </w:r>
      <w:r>
        <w:rPr/>
        <w:t>that,</w:t>
      </w:r>
      <w:r>
        <w:rPr>
          <w:spacing w:val="-4"/>
        </w:rPr>
        <w:t> </w:t>
      </w:r>
      <w:r>
        <w:rPr/>
        <w:t>absent</w:t>
      </w:r>
      <w:r>
        <w:rPr>
          <w:spacing w:val="-4"/>
        </w:rPr>
        <w:t> </w:t>
      </w:r>
      <w:r>
        <w:rPr/>
        <w:t>such</w:t>
      </w:r>
      <w:r>
        <w:rPr>
          <w:spacing w:val="-4"/>
        </w:rPr>
        <w:t> </w:t>
      </w:r>
      <w:r>
        <w:rPr/>
        <w:t>clarification,</w:t>
      </w:r>
      <w:r>
        <w:rPr>
          <w:spacing w:val="-4"/>
        </w:rPr>
        <w:t> </w:t>
      </w:r>
      <w:r>
        <w:rPr/>
        <w:t>the</w:t>
      </w:r>
      <w:r>
        <w:rPr>
          <w:spacing w:val="-4"/>
        </w:rPr>
        <w:t> </w:t>
      </w:r>
      <w:r>
        <w:rPr/>
        <w:t>proposed</w:t>
      </w:r>
      <w:r>
        <w:rPr>
          <w:spacing w:val="-4"/>
        </w:rPr>
        <w:t> </w:t>
      </w:r>
      <w:r>
        <w:rPr/>
        <w:t>LCD</w:t>
      </w:r>
      <w:r>
        <w:rPr>
          <w:spacing w:val="-4"/>
        </w:rPr>
        <w:t> </w:t>
      </w:r>
      <w:r>
        <w:rPr/>
        <w:t>may</w:t>
      </w:r>
      <w:r>
        <w:rPr>
          <w:spacing w:val="-4"/>
        </w:rPr>
        <w:t> </w:t>
      </w:r>
      <w:r>
        <w:rPr/>
        <w:t>create</w:t>
      </w:r>
      <w:r>
        <w:rPr>
          <w:spacing w:val="-3"/>
        </w:rPr>
        <w:t> </w:t>
      </w:r>
      <w:r>
        <w:rPr/>
        <w:t>confusion</w:t>
      </w:r>
      <w:r>
        <w:rPr>
          <w:spacing w:val="-4"/>
        </w:rPr>
        <w:t> </w:t>
      </w:r>
      <w:r>
        <w:rPr/>
        <w:t>among</w:t>
      </w:r>
      <w:r>
        <w:rPr>
          <w:spacing w:val="-4"/>
        </w:rPr>
        <w:t> </w:t>
      </w:r>
      <w:r>
        <w:rPr/>
        <w:t>claim reviewers, prescribers, and suppliers regarding the necessary documentation.</w:t>
      </w:r>
      <w:r>
        <w:rPr>
          <w:spacing w:val="40"/>
        </w:rPr>
        <w:t> </w:t>
      </w:r>
      <w:r>
        <w:rPr/>
        <w:t>To be clear, the ITEM Coalition believes that coverage should be granted if the medical record reflects that the patient</w:t>
      </w:r>
      <w:r>
        <w:rPr>
          <w:spacing w:val="-2"/>
        </w:rPr>
        <w:t> </w:t>
      </w:r>
      <w:r>
        <w:rPr/>
        <w:t>has</w:t>
      </w:r>
      <w:r>
        <w:rPr>
          <w:spacing w:val="-2"/>
        </w:rPr>
        <w:t> </w:t>
      </w:r>
      <w:r>
        <w:rPr/>
        <w:t>incurred</w:t>
      </w:r>
      <w:r>
        <w:rPr>
          <w:spacing w:val="-2"/>
        </w:rPr>
        <w:t> </w:t>
      </w:r>
      <w:r>
        <w:rPr/>
        <w:t>an</w:t>
      </w:r>
      <w:r>
        <w:rPr>
          <w:spacing w:val="-2"/>
        </w:rPr>
        <w:t> </w:t>
      </w:r>
      <w:r>
        <w:rPr/>
        <w:t>SCI,</w:t>
      </w:r>
      <w:r>
        <w:rPr>
          <w:spacing w:val="-2"/>
        </w:rPr>
        <w:t> </w:t>
      </w:r>
      <w:r>
        <w:rPr/>
        <w:t>without</w:t>
      </w:r>
      <w:r>
        <w:rPr>
          <w:spacing w:val="-2"/>
        </w:rPr>
        <w:t> </w:t>
      </w:r>
      <w:r>
        <w:rPr/>
        <w:t>requiring additional</w:t>
      </w:r>
      <w:r>
        <w:rPr>
          <w:spacing w:val="-2"/>
        </w:rPr>
        <w:t> </w:t>
      </w:r>
      <w:r>
        <w:rPr/>
        <w:t>verbiage</w:t>
      </w:r>
      <w:r>
        <w:rPr>
          <w:spacing w:val="-3"/>
        </w:rPr>
        <w:t> </w:t>
      </w:r>
      <w:r>
        <w:rPr/>
        <w:t>or</w:t>
      </w:r>
      <w:r>
        <w:rPr>
          <w:spacing w:val="-2"/>
        </w:rPr>
        <w:t> </w:t>
      </w:r>
      <w:r>
        <w:rPr/>
        <w:t>separate</w:t>
      </w:r>
      <w:r>
        <w:rPr>
          <w:spacing w:val="-2"/>
        </w:rPr>
        <w:t> </w:t>
      </w:r>
      <w:r>
        <w:rPr/>
        <w:t>documentation</w:t>
      </w:r>
      <w:r>
        <w:rPr>
          <w:spacing w:val="-2"/>
        </w:rPr>
        <w:t> </w:t>
      </w:r>
      <w:r>
        <w:rPr/>
        <w:t>to establish immunosuppression.</w:t>
      </w:r>
    </w:p>
    <w:p>
      <w:pPr>
        <w:pStyle w:val="BodyText"/>
        <w:spacing w:before="1"/>
        <w:ind w:left="0"/>
      </w:pPr>
    </w:p>
    <w:p>
      <w:pPr>
        <w:pStyle w:val="BodyText"/>
      </w:pPr>
      <w:r>
        <w:rPr/>
        <w:t>We</w:t>
      </w:r>
      <w:r>
        <w:rPr>
          <w:spacing w:val="-5"/>
        </w:rPr>
        <w:t> </w:t>
      </w:r>
      <w:r>
        <w:rPr/>
        <w:t>note</w:t>
      </w:r>
      <w:r>
        <w:rPr>
          <w:spacing w:val="-4"/>
        </w:rPr>
        <w:t> </w:t>
      </w:r>
      <w:r>
        <w:rPr/>
        <w:t>that</w:t>
      </w:r>
      <w:r>
        <w:rPr>
          <w:spacing w:val="-4"/>
        </w:rPr>
        <w:t> </w:t>
      </w:r>
      <w:r>
        <w:rPr>
          <w:u w:val="single"/>
        </w:rPr>
        <w:t>both</w:t>
      </w:r>
      <w:r>
        <w:rPr>
          <w:spacing w:val="-4"/>
          <w:u w:val="single"/>
        </w:rPr>
        <w:t> </w:t>
      </w:r>
      <w:r>
        <w:rPr>
          <w:u w:val="single"/>
        </w:rPr>
        <w:t>congenital</w:t>
      </w:r>
      <w:r>
        <w:rPr>
          <w:spacing w:val="-4"/>
          <w:u w:val="single"/>
        </w:rPr>
        <w:t> </w:t>
      </w:r>
      <w:r>
        <w:rPr>
          <w:u w:val="single"/>
        </w:rPr>
        <w:t>and</w:t>
      </w:r>
      <w:r>
        <w:rPr>
          <w:spacing w:val="-4"/>
          <w:u w:val="single"/>
        </w:rPr>
        <w:t> </w:t>
      </w:r>
      <w:r>
        <w:rPr>
          <w:u w:val="single"/>
        </w:rPr>
        <w:t>non-congenital</w:t>
      </w:r>
      <w:r>
        <w:rPr>
          <w:spacing w:val="-1"/>
          <w:u w:val="none"/>
        </w:rPr>
        <w:t> </w:t>
      </w:r>
      <w:r>
        <w:rPr>
          <w:u w:val="none"/>
        </w:rPr>
        <w:t>conditions</w:t>
      </w:r>
      <w:r>
        <w:rPr>
          <w:spacing w:val="-4"/>
          <w:u w:val="none"/>
        </w:rPr>
        <w:t> </w:t>
      </w:r>
      <w:r>
        <w:rPr>
          <w:u w:val="none"/>
        </w:rPr>
        <w:t>may</w:t>
      </w:r>
      <w:r>
        <w:rPr>
          <w:spacing w:val="-4"/>
          <w:u w:val="none"/>
        </w:rPr>
        <w:t> </w:t>
      </w:r>
      <w:r>
        <w:rPr>
          <w:u w:val="none"/>
        </w:rPr>
        <w:t>cause</w:t>
      </w:r>
      <w:r>
        <w:rPr>
          <w:spacing w:val="-5"/>
          <w:u w:val="none"/>
        </w:rPr>
        <w:t> </w:t>
      </w:r>
      <w:r>
        <w:rPr>
          <w:u w:val="none"/>
        </w:rPr>
        <w:t>neurogenic</w:t>
      </w:r>
      <w:r>
        <w:rPr>
          <w:spacing w:val="-4"/>
          <w:u w:val="none"/>
        </w:rPr>
        <w:t> </w:t>
      </w:r>
      <w:r>
        <w:rPr>
          <w:u w:val="none"/>
        </w:rPr>
        <w:t>bladder</w:t>
      </w:r>
      <w:r>
        <w:rPr>
          <w:spacing w:val="-4"/>
          <w:u w:val="none"/>
        </w:rPr>
        <w:t> </w:t>
      </w:r>
      <w:r>
        <w:rPr>
          <w:u w:val="none"/>
        </w:rPr>
        <w:t>and carry the same risks of recurrent UTIs, renal deterioration, and life-threatening complications. Individuals with these conditions require sterile catheter kits for safe bladder management.</w:t>
      </w:r>
    </w:p>
    <w:p>
      <w:pPr>
        <w:pStyle w:val="BodyText"/>
        <w:ind w:right="138"/>
      </w:pPr>
      <w:r>
        <w:rPr/>
        <w:t>Expanding</w:t>
      </w:r>
      <w:r>
        <w:rPr>
          <w:spacing w:val="-4"/>
        </w:rPr>
        <w:t> </w:t>
      </w:r>
      <w:r>
        <w:rPr/>
        <w:t>coverage</w:t>
      </w:r>
      <w:r>
        <w:rPr>
          <w:spacing w:val="-5"/>
        </w:rPr>
        <w:t> </w:t>
      </w:r>
      <w:r>
        <w:rPr/>
        <w:t>to</w:t>
      </w:r>
      <w:r>
        <w:rPr>
          <w:spacing w:val="-4"/>
        </w:rPr>
        <w:t> </w:t>
      </w:r>
      <w:r>
        <w:rPr/>
        <w:t>neurogenic</w:t>
      </w:r>
      <w:r>
        <w:rPr>
          <w:spacing w:val="-4"/>
        </w:rPr>
        <w:t> </w:t>
      </w:r>
      <w:r>
        <w:rPr/>
        <w:t>bladder</w:t>
      </w:r>
      <w:r>
        <w:rPr>
          <w:spacing w:val="-4"/>
        </w:rPr>
        <w:t> </w:t>
      </w:r>
      <w:r>
        <w:rPr/>
        <w:t>due</w:t>
      </w:r>
      <w:r>
        <w:rPr>
          <w:spacing w:val="-5"/>
        </w:rPr>
        <w:t> </w:t>
      </w:r>
      <w:r>
        <w:rPr/>
        <w:t>to</w:t>
      </w:r>
      <w:r>
        <w:rPr>
          <w:spacing w:val="-4"/>
        </w:rPr>
        <w:t> </w:t>
      </w:r>
      <w:r>
        <w:rPr/>
        <w:t>congenital</w:t>
      </w:r>
      <w:r>
        <w:rPr>
          <w:spacing w:val="-4"/>
        </w:rPr>
        <w:t> </w:t>
      </w:r>
      <w:r>
        <w:rPr/>
        <w:t>and</w:t>
      </w:r>
      <w:r>
        <w:rPr>
          <w:spacing w:val="-4"/>
        </w:rPr>
        <w:t> </w:t>
      </w:r>
      <w:r>
        <w:rPr/>
        <w:t>non-congenital</w:t>
      </w:r>
      <w:r>
        <w:rPr>
          <w:spacing w:val="-4"/>
        </w:rPr>
        <w:t> </w:t>
      </w:r>
      <w:r>
        <w:rPr/>
        <w:t>etiologies ensures equitable access to care and reduces preventable costs for the Medicare program.</w:t>
      </w:r>
    </w:p>
    <w:p>
      <w:pPr>
        <w:pStyle w:val="BodyText"/>
        <w:ind w:left="0"/>
      </w:pPr>
    </w:p>
    <w:p>
      <w:pPr>
        <w:pStyle w:val="BodyText"/>
        <w:ind w:right="138"/>
      </w:pPr>
      <w:r>
        <w:rPr/>
        <w:t>In addition, the ITEM Coalition respectfully urges the DME MACs to review the clinical literature</w:t>
      </w:r>
      <w:r>
        <w:rPr>
          <w:spacing w:val="-1"/>
        </w:rPr>
        <w:t> </w:t>
      </w:r>
      <w:r>
        <w:rPr/>
        <w:t>demonstrating that all individuals with neurogenic bladder, regardless of etiology, would benefit from access to sterile catheter kits.</w:t>
      </w:r>
      <w:r>
        <w:rPr>
          <w:spacing w:val="40"/>
        </w:rPr>
        <w:t> </w:t>
      </w:r>
      <w:r>
        <w:rPr/>
        <w:t>Expanding coverage on this basis would promote</w:t>
      </w:r>
      <w:r>
        <w:rPr>
          <w:spacing w:val="-5"/>
        </w:rPr>
        <w:t> </w:t>
      </w:r>
      <w:r>
        <w:rPr/>
        <w:t>equitable</w:t>
      </w:r>
      <w:r>
        <w:rPr>
          <w:spacing w:val="-5"/>
        </w:rPr>
        <w:t> </w:t>
      </w:r>
      <w:r>
        <w:rPr/>
        <w:t>access</w:t>
      </w:r>
      <w:r>
        <w:rPr>
          <w:spacing w:val="-3"/>
        </w:rPr>
        <w:t> </w:t>
      </w:r>
      <w:r>
        <w:rPr/>
        <w:t>to</w:t>
      </w:r>
      <w:r>
        <w:rPr>
          <w:spacing w:val="-5"/>
        </w:rPr>
        <w:t> </w:t>
      </w:r>
      <w:r>
        <w:rPr/>
        <w:t>essential</w:t>
      </w:r>
      <w:r>
        <w:rPr>
          <w:spacing w:val="-5"/>
        </w:rPr>
        <w:t> </w:t>
      </w:r>
      <w:r>
        <w:rPr/>
        <w:t>urological</w:t>
      </w:r>
      <w:r>
        <w:rPr>
          <w:spacing w:val="-5"/>
        </w:rPr>
        <w:t> </w:t>
      </w:r>
      <w:r>
        <w:rPr/>
        <w:t>care,</w:t>
      </w:r>
      <w:r>
        <w:rPr>
          <w:spacing w:val="-5"/>
        </w:rPr>
        <w:t> </w:t>
      </w:r>
      <w:r>
        <w:rPr/>
        <w:t>reduce</w:t>
      </w:r>
      <w:r>
        <w:rPr>
          <w:spacing w:val="-6"/>
        </w:rPr>
        <w:t> </w:t>
      </w:r>
      <w:r>
        <w:rPr/>
        <w:t>preventable</w:t>
      </w:r>
      <w:r>
        <w:rPr>
          <w:spacing w:val="-6"/>
        </w:rPr>
        <w:t> </w:t>
      </w:r>
      <w:r>
        <w:rPr/>
        <w:t>complications,</w:t>
      </w:r>
      <w:r>
        <w:rPr>
          <w:spacing w:val="-5"/>
        </w:rPr>
        <w:t> </w:t>
      </w:r>
      <w:r>
        <w:rPr/>
        <w:t>and ensure that patients receive treatment consistent with current clinical standards of practice.</w:t>
      </w:r>
    </w:p>
    <w:p>
      <w:pPr>
        <w:pStyle w:val="BodyText"/>
        <w:spacing w:before="1"/>
        <w:ind w:left="0"/>
      </w:pPr>
    </w:p>
    <w:p>
      <w:pPr>
        <w:spacing w:before="0"/>
        <w:ind w:left="2" w:right="0" w:firstLine="0"/>
        <w:jc w:val="center"/>
        <w:rPr>
          <w:sz w:val="24"/>
        </w:rPr>
      </w:pPr>
      <w:r>
        <w:rPr>
          <w:spacing w:val="-2"/>
          <w:sz w:val="24"/>
        </w:rPr>
        <w:t>************</w:t>
      </w:r>
    </w:p>
    <w:p>
      <w:pPr>
        <w:pStyle w:val="BodyText"/>
        <w:ind w:left="0"/>
      </w:pPr>
    </w:p>
    <w:p>
      <w:pPr>
        <w:pStyle w:val="BodyText"/>
        <w:ind w:right="138"/>
      </w:pPr>
      <w:r>
        <w:rPr/>
        <w:t>Thank you for your consideration of our comments and for your leadership in expanding access to</w:t>
      </w:r>
      <w:r>
        <w:rPr>
          <w:spacing w:val="-3"/>
        </w:rPr>
        <w:t> </w:t>
      </w:r>
      <w:r>
        <w:rPr/>
        <w:t>urological</w:t>
      </w:r>
      <w:r>
        <w:rPr>
          <w:spacing w:val="-3"/>
        </w:rPr>
        <w:t> </w:t>
      </w:r>
      <w:r>
        <w:rPr/>
        <w:t>supplies</w:t>
      </w:r>
      <w:r>
        <w:rPr>
          <w:spacing w:val="-3"/>
        </w:rPr>
        <w:t> </w:t>
      </w:r>
      <w:r>
        <w:rPr/>
        <w:t>for</w:t>
      </w:r>
      <w:r>
        <w:rPr>
          <w:spacing w:val="-3"/>
        </w:rPr>
        <w:t> </w:t>
      </w:r>
      <w:r>
        <w:rPr/>
        <w:t>people</w:t>
      </w:r>
      <w:r>
        <w:rPr>
          <w:spacing w:val="-3"/>
        </w:rPr>
        <w:t> </w:t>
      </w:r>
      <w:r>
        <w:rPr/>
        <w:t>with</w:t>
      </w:r>
      <w:r>
        <w:rPr>
          <w:spacing w:val="-3"/>
        </w:rPr>
        <w:t> </w:t>
      </w:r>
      <w:r>
        <w:rPr/>
        <w:t>disabilities.</w:t>
      </w:r>
      <w:r>
        <w:rPr>
          <w:spacing w:val="40"/>
        </w:rPr>
        <w:t> </w:t>
      </w:r>
      <w:r>
        <w:rPr/>
        <w:t>Should</w:t>
      </w:r>
      <w:r>
        <w:rPr>
          <w:spacing w:val="-3"/>
        </w:rPr>
        <w:t> </w:t>
      </w:r>
      <w:r>
        <w:rPr/>
        <w:t>you</w:t>
      </w:r>
      <w:r>
        <w:rPr>
          <w:spacing w:val="-3"/>
        </w:rPr>
        <w:t> </w:t>
      </w:r>
      <w:r>
        <w:rPr/>
        <w:t>have</w:t>
      </w:r>
      <w:r>
        <w:rPr>
          <w:spacing w:val="-5"/>
        </w:rPr>
        <w:t> </w:t>
      </w:r>
      <w:r>
        <w:rPr/>
        <w:t>any</w:t>
      </w:r>
      <w:r>
        <w:rPr>
          <w:spacing w:val="-3"/>
        </w:rPr>
        <w:t> </w:t>
      </w:r>
      <w:r>
        <w:rPr/>
        <w:t>further</w:t>
      </w:r>
      <w:r>
        <w:rPr>
          <w:spacing w:val="-5"/>
        </w:rPr>
        <w:t> </w:t>
      </w:r>
      <w:r>
        <w:rPr/>
        <w:t>questions,</w:t>
      </w:r>
      <w:r>
        <w:rPr>
          <w:spacing w:val="-3"/>
        </w:rPr>
        <w:t> </w:t>
      </w:r>
      <w:r>
        <w:rPr/>
        <w:t>please contact Peter Thomas, Leela Baggett, or Michael Barnett—ITEM Coalition co-coordinators—at </w:t>
      </w:r>
      <w:hyperlink r:id="rId9">
        <w:r>
          <w:rPr>
            <w:color w:val="0000FF"/>
            <w:u w:val="single" w:color="0000FF"/>
          </w:rPr>
          <w:t>Peter.Thomas@PowersLaw.com</w:t>
        </w:r>
        <w:r>
          <w:rPr>
            <w:u w:val="none"/>
          </w:rPr>
          <w:t>,</w:t>
        </w:r>
      </w:hyperlink>
      <w:r>
        <w:rPr>
          <w:u w:val="none"/>
        </w:rPr>
        <w:t> </w:t>
      </w:r>
      <w:hyperlink r:id="rId10">
        <w:r>
          <w:rPr>
            <w:color w:val="0000FF"/>
            <w:u w:val="single" w:color="0000FF"/>
          </w:rPr>
          <w:t>Leela.Baggett@PowersLaw.com</w:t>
        </w:r>
      </w:hyperlink>
      <w:r>
        <w:rPr>
          <w:color w:val="0000FF"/>
          <w:u w:val="none"/>
        </w:rPr>
        <w:t> </w:t>
      </w:r>
      <w:r>
        <w:rPr>
          <w:u w:val="none"/>
        </w:rPr>
        <w:t>or </w:t>
      </w:r>
      <w:hyperlink r:id="rId11">
        <w:r>
          <w:rPr>
            <w:color w:val="0000FF"/>
            <w:spacing w:val="-2"/>
            <w:u w:val="single" w:color="0000FF"/>
          </w:rPr>
          <w:t>Michael.Barnett@PowersLaw.com</w:t>
        </w:r>
      </w:hyperlink>
      <w:r>
        <w:rPr>
          <w:spacing w:val="-2"/>
          <w:u w:val="none"/>
        </w:rPr>
        <w:t>.</w:t>
      </w:r>
    </w:p>
    <w:p>
      <w:pPr>
        <w:pStyle w:val="BodyText"/>
        <w:spacing w:before="168"/>
        <w:ind w:left="2"/>
        <w:jc w:val="center"/>
      </w:pPr>
      <w:r>
        <w:rPr>
          <w:spacing w:val="-10"/>
        </w:rPr>
        <w:t>2</w:t>
      </w:r>
    </w:p>
    <w:p>
      <w:pPr>
        <w:spacing w:after="0"/>
        <w:jc w:val="center"/>
        <w:sectPr>
          <w:footerReference w:type="default" r:id="rId8"/>
          <w:pgSz w:w="12240" w:h="15840"/>
          <w:pgMar w:header="0" w:footer="231" w:top="1360" w:bottom="420" w:left="1340" w:right="1340"/>
        </w:sectPr>
      </w:pPr>
    </w:p>
    <w:p>
      <w:pPr>
        <w:pStyle w:val="BodyText"/>
        <w:spacing w:before="75"/>
      </w:pPr>
      <w:r>
        <w:rPr>
          <w:spacing w:val="-2"/>
        </w:rPr>
        <w:t>Sincerely,</w:t>
      </w:r>
    </w:p>
    <w:p>
      <w:pPr>
        <w:pStyle w:val="BodyText"/>
        <w:ind w:left="0"/>
      </w:pPr>
    </w:p>
    <w:p>
      <w:pPr>
        <w:pStyle w:val="Heading1"/>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775"/>
      </w:pPr>
      <w:r>
        <w:rPr/>
        <w:t>Access</w:t>
      </w:r>
      <w:r>
        <w:rPr>
          <w:spacing w:val="-15"/>
        </w:rPr>
        <w:t> </w:t>
      </w:r>
      <w:r>
        <w:rPr/>
        <w:t>Ready,</w:t>
      </w:r>
      <w:r>
        <w:rPr>
          <w:spacing w:val="-15"/>
        </w:rPr>
        <w:t> </w:t>
      </w:r>
      <w:r>
        <w:rPr/>
        <w:t>Inc. </w:t>
      </w:r>
      <w:r>
        <w:rPr>
          <w:spacing w:val="-2"/>
        </w:rPr>
        <w:t>ACCSES</w:t>
      </w:r>
    </w:p>
    <w:p>
      <w:pPr>
        <w:pStyle w:val="BodyText"/>
        <w:ind w:right="3961"/>
      </w:pPr>
      <w:r>
        <w:rPr/>
        <w:t>AG</w:t>
      </w:r>
      <w:r>
        <w:rPr>
          <w:spacing w:val="-6"/>
        </w:rPr>
        <w:t> </w:t>
      </w:r>
      <w:r>
        <w:rPr/>
        <w:t>Bell</w:t>
      </w:r>
      <w:r>
        <w:rPr>
          <w:spacing w:val="-5"/>
        </w:rPr>
        <w:t> </w:t>
      </w:r>
      <w:r>
        <w:rPr/>
        <w:t>Association</w:t>
      </w:r>
      <w:r>
        <w:rPr>
          <w:spacing w:val="-5"/>
        </w:rPr>
        <w:t> </w:t>
      </w:r>
      <w:r>
        <w:rPr/>
        <w:t>for</w:t>
      </w:r>
      <w:r>
        <w:rPr>
          <w:spacing w:val="-4"/>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7"/>
        </w:rPr>
        <w:t> </w:t>
      </w:r>
      <w:r>
        <w:rPr/>
        <w:t>Hearing All Wheels Up</w:t>
      </w:r>
    </w:p>
    <w:p>
      <w:pPr>
        <w:pStyle w:val="Heading2"/>
        <w:rPr>
          <w:i/>
        </w:rPr>
      </w:pPr>
      <w:r>
        <w:rPr>
          <w:i/>
        </w:rPr>
        <w:t>ALS </w:t>
      </w:r>
      <w:r>
        <w:rPr>
          <w:i/>
          <w:spacing w:val="-2"/>
        </w:rPr>
        <w:t>Association*</w:t>
      </w:r>
    </w:p>
    <w:p>
      <w:pPr>
        <w:pStyle w:val="BodyText"/>
      </w:pPr>
      <w:r>
        <w:rPr/>
        <w:t>American</w:t>
      </w:r>
      <w:r>
        <w:rPr>
          <w:spacing w:val="-1"/>
        </w:rPr>
        <w:t> </w:t>
      </w:r>
      <w:r>
        <w:rPr/>
        <w:t>Association</w:t>
      </w:r>
      <w:r>
        <w:rPr>
          <w:spacing w:val="-1"/>
        </w:rPr>
        <w:t> </w:t>
      </w:r>
      <w:r>
        <w:rPr/>
        <w:t>for </w:t>
      </w:r>
      <w:r>
        <w:rPr>
          <w:spacing w:val="-2"/>
        </w:rPr>
        <w:t>Homecare</w:t>
      </w:r>
    </w:p>
    <w:p>
      <w:pPr>
        <w:pStyle w:val="BodyText"/>
        <w:ind w:right="4908"/>
        <w:jc w:val="both"/>
      </w:pPr>
      <w:r>
        <w:rPr/>
        <w:t>American</w:t>
      </w:r>
      <w:r>
        <w:rPr>
          <w:spacing w:val="-9"/>
        </w:rPr>
        <w:t> </w:t>
      </w:r>
      <w:r>
        <w:rPr/>
        <w:t>Association</w:t>
      </w:r>
      <w:r>
        <w:rPr>
          <w:spacing w:val="-9"/>
        </w:rPr>
        <w:t> </w:t>
      </w:r>
      <w:r>
        <w:rPr/>
        <w:t>on</w:t>
      </w:r>
      <w:r>
        <w:rPr>
          <w:spacing w:val="-9"/>
        </w:rPr>
        <w:t> </w:t>
      </w:r>
      <w:r>
        <w:rPr/>
        <w:t>Health</w:t>
      </w:r>
      <w:r>
        <w:rPr>
          <w:spacing w:val="-9"/>
        </w:rPr>
        <w:t> </w:t>
      </w:r>
      <w:r>
        <w:rPr/>
        <w:t>and</w:t>
      </w:r>
      <w:r>
        <w:rPr>
          <w:spacing w:val="-9"/>
        </w:rPr>
        <w:t> </w:t>
      </w:r>
      <w:r>
        <w:rPr/>
        <w:t>Disability American</w:t>
      </w:r>
      <w:r>
        <w:rPr>
          <w:spacing w:val="-9"/>
        </w:rPr>
        <w:t> </w:t>
      </w:r>
      <w:r>
        <w:rPr/>
        <w:t>Congress</w:t>
      </w:r>
      <w:r>
        <w:rPr>
          <w:spacing w:val="-9"/>
        </w:rPr>
        <w:t> </w:t>
      </w:r>
      <w:r>
        <w:rPr/>
        <w:t>of</w:t>
      </w:r>
      <w:r>
        <w:rPr>
          <w:spacing w:val="-9"/>
        </w:rPr>
        <w:t> </w:t>
      </w:r>
      <w:r>
        <w:rPr/>
        <w:t>Rehabilitation</w:t>
      </w:r>
      <w:r>
        <w:rPr>
          <w:spacing w:val="-9"/>
        </w:rPr>
        <w:t> </w:t>
      </w:r>
      <w:r>
        <w:rPr/>
        <w:t>Medicine Association of Rehabilitation Nurses</w:t>
      </w:r>
    </w:p>
    <w:p>
      <w:pPr>
        <w:spacing w:before="1"/>
        <w:ind w:left="100" w:right="5296" w:firstLine="0"/>
        <w:jc w:val="left"/>
        <w:rPr>
          <w:sz w:val="24"/>
        </w:rPr>
      </w:pPr>
      <w:r>
        <w:rPr>
          <w:sz w:val="24"/>
        </w:rPr>
        <w:t>Autistic Women &amp; Nonbinary Network Center on Aging and DIS-Ability Policy </w:t>
      </w:r>
      <w:r>
        <w:rPr>
          <w:b/>
          <w:i/>
          <w:sz w:val="24"/>
        </w:rPr>
        <w:t>Christopher</w:t>
      </w:r>
      <w:r>
        <w:rPr>
          <w:b/>
          <w:i/>
          <w:spacing w:val="-10"/>
          <w:sz w:val="24"/>
        </w:rPr>
        <w:t> </w:t>
      </w:r>
      <w:r>
        <w:rPr>
          <w:b/>
          <w:i/>
          <w:sz w:val="24"/>
        </w:rPr>
        <w:t>&amp;</w:t>
      </w:r>
      <w:r>
        <w:rPr>
          <w:b/>
          <w:i/>
          <w:spacing w:val="-10"/>
          <w:sz w:val="24"/>
        </w:rPr>
        <w:t> </w:t>
      </w:r>
      <w:r>
        <w:rPr>
          <w:b/>
          <w:i/>
          <w:sz w:val="24"/>
        </w:rPr>
        <w:t>Dana</w:t>
      </w:r>
      <w:r>
        <w:rPr>
          <w:b/>
          <w:i/>
          <w:spacing w:val="-10"/>
          <w:sz w:val="24"/>
        </w:rPr>
        <w:t> </w:t>
      </w:r>
      <w:r>
        <w:rPr>
          <w:b/>
          <w:i/>
          <w:sz w:val="24"/>
        </w:rPr>
        <w:t>Reeve</w:t>
      </w:r>
      <w:r>
        <w:rPr>
          <w:b/>
          <w:i/>
          <w:spacing w:val="-11"/>
          <w:sz w:val="24"/>
        </w:rPr>
        <w:t> </w:t>
      </w:r>
      <w:r>
        <w:rPr>
          <w:b/>
          <w:i/>
          <w:sz w:val="24"/>
        </w:rPr>
        <w:t>Foundation*</w:t>
      </w:r>
      <w:r>
        <w:rPr>
          <w:b/>
          <w:i/>
          <w:sz w:val="24"/>
        </w:rPr>
        <w:t> </w:t>
      </w:r>
      <w:r>
        <w:rPr>
          <w:sz w:val="24"/>
        </w:rPr>
        <w:t>Clinician Task Force</w:t>
      </w:r>
    </w:p>
    <w:p>
      <w:pPr>
        <w:pStyle w:val="BodyText"/>
      </w:pPr>
      <w:r>
        <w:rPr/>
        <w:t>CureLGMD2i</w:t>
      </w:r>
      <w:r>
        <w:rPr>
          <w:spacing w:val="-3"/>
        </w:rPr>
        <w:t> </w:t>
      </w:r>
      <w:r>
        <w:rPr>
          <w:spacing w:val="-2"/>
        </w:rPr>
        <w:t>Foundation</w:t>
      </w:r>
    </w:p>
    <w:p>
      <w:pPr>
        <w:pStyle w:val="BodyText"/>
      </w:pPr>
      <w:r>
        <w:rPr/>
        <w:t>Institute</w:t>
      </w:r>
      <w:r>
        <w:rPr>
          <w:spacing w:val="-2"/>
        </w:rPr>
        <w:t> </w:t>
      </w:r>
      <w:r>
        <w:rPr/>
        <w:t>for</w:t>
      </w:r>
      <w:r>
        <w:rPr>
          <w:spacing w:val="-3"/>
        </w:rPr>
        <w:t> </w:t>
      </w:r>
      <w:r>
        <w:rPr/>
        <w:t>Matching</w:t>
      </w:r>
      <w:r>
        <w:rPr>
          <w:spacing w:val="-1"/>
        </w:rPr>
        <w:t> </w:t>
      </w:r>
      <w:r>
        <w:rPr/>
        <w:t>Person</w:t>
      </w:r>
      <w:r>
        <w:rPr>
          <w:spacing w:val="-1"/>
        </w:rPr>
        <w:t> </w:t>
      </w:r>
      <w:r>
        <w:rPr/>
        <w:t>and </w:t>
      </w:r>
      <w:r>
        <w:rPr>
          <w:spacing w:val="-2"/>
        </w:rPr>
        <w:t>Technology</w:t>
      </w:r>
    </w:p>
    <w:p>
      <w:pPr>
        <w:pStyle w:val="BodyText"/>
        <w:ind w:right="1855"/>
      </w:pPr>
      <w:r>
        <w:rPr/>
        <w:t>International</w:t>
      </w:r>
      <w:r>
        <w:rPr>
          <w:spacing w:val="-7"/>
        </w:rPr>
        <w:t> </w:t>
      </w:r>
      <w:r>
        <w:rPr/>
        <w:t>Registry</w:t>
      </w:r>
      <w:r>
        <w:rPr>
          <w:spacing w:val="-7"/>
        </w:rPr>
        <w:t> </w:t>
      </w:r>
      <w:r>
        <w:rPr/>
        <w:t>of</w:t>
      </w:r>
      <w:r>
        <w:rPr>
          <w:spacing w:val="-7"/>
        </w:rPr>
        <w:t> </w:t>
      </w:r>
      <w:r>
        <w:rPr/>
        <w:t>Rehabilitation</w:t>
      </w:r>
      <w:r>
        <w:rPr>
          <w:spacing w:val="-7"/>
        </w:rPr>
        <w:t> </w:t>
      </w:r>
      <w:r>
        <w:rPr/>
        <w:t>Technology</w:t>
      </w:r>
      <w:r>
        <w:rPr>
          <w:spacing w:val="-7"/>
        </w:rPr>
        <w:t> </w:t>
      </w:r>
      <w:r>
        <w:rPr/>
        <w:t>Suppliers</w:t>
      </w:r>
      <w:r>
        <w:rPr>
          <w:spacing w:val="-7"/>
        </w:rPr>
        <w:t> </w:t>
      </w:r>
      <w:r>
        <w:rPr/>
        <w:t>(iNRRTS) Lakeshore Foundation</w:t>
      </w:r>
    </w:p>
    <w:p>
      <w:pPr>
        <w:pStyle w:val="BodyText"/>
      </w:pPr>
      <w:r>
        <w:rPr/>
        <w:t>Long</w:t>
      </w:r>
      <w:r>
        <w:rPr>
          <w:spacing w:val="-2"/>
        </w:rPr>
        <w:t> </w:t>
      </w:r>
      <w:r>
        <w:rPr/>
        <w:t>Island</w:t>
      </w:r>
      <w:r>
        <w:rPr>
          <w:spacing w:val="-1"/>
        </w:rPr>
        <w:t> </w:t>
      </w:r>
      <w:r>
        <w:rPr/>
        <w:t>Center</w:t>
      </w:r>
      <w:r>
        <w:rPr>
          <w:spacing w:val="-3"/>
        </w:rPr>
        <w:t> </w:t>
      </w:r>
      <w:r>
        <w:rPr/>
        <w:t>for Independent</w:t>
      </w:r>
      <w:r>
        <w:rPr>
          <w:spacing w:val="-1"/>
        </w:rPr>
        <w:t> </w:t>
      </w:r>
      <w:r>
        <w:rPr/>
        <w:t>Living</w:t>
      </w:r>
      <w:r>
        <w:rPr>
          <w:spacing w:val="-1"/>
        </w:rPr>
        <w:t> </w:t>
      </w:r>
      <w:r>
        <w:rPr>
          <w:spacing w:val="-2"/>
        </w:rPr>
        <w:t>(LICIL)</w:t>
      </w:r>
    </w:p>
    <w:p>
      <w:pPr>
        <w:pStyle w:val="BodyText"/>
        <w:ind w:right="1855"/>
      </w:pPr>
      <w:r>
        <w:rPr/>
        <w:t>National</w:t>
      </w:r>
      <w:r>
        <w:rPr>
          <w:spacing w:val="-5"/>
        </w:rPr>
        <w:t> </w:t>
      </w:r>
      <w:r>
        <w:rPr/>
        <w:t>Association</w:t>
      </w:r>
      <w:r>
        <w:rPr>
          <w:spacing w:val="-5"/>
        </w:rPr>
        <w:t> </w:t>
      </w:r>
      <w:r>
        <w:rPr/>
        <w:t>for</w:t>
      </w:r>
      <w:r>
        <w:rPr>
          <w:spacing w:val="-4"/>
        </w:rPr>
        <w:t> </w:t>
      </w:r>
      <w:r>
        <w:rPr/>
        <w:t>the</w:t>
      </w:r>
      <w:r>
        <w:rPr>
          <w:spacing w:val="-5"/>
        </w:rPr>
        <w:t> </w:t>
      </w:r>
      <w:r>
        <w:rPr/>
        <w:t>Advancement</w:t>
      </w:r>
      <w:r>
        <w:rPr>
          <w:spacing w:val="-5"/>
        </w:rPr>
        <w:t> </w:t>
      </w:r>
      <w:r>
        <w:rPr/>
        <w:t>of</w:t>
      </w:r>
      <w:r>
        <w:rPr>
          <w:spacing w:val="-6"/>
        </w:rPr>
        <w:t> </w:t>
      </w:r>
      <w:r>
        <w:rPr/>
        <w:t>Orthotics</w:t>
      </w:r>
      <w:r>
        <w:rPr>
          <w:spacing w:val="-5"/>
        </w:rPr>
        <w:t> </w:t>
      </w:r>
      <w:r>
        <w:rPr/>
        <w:t>and</w:t>
      </w:r>
      <w:r>
        <w:rPr>
          <w:spacing w:val="-5"/>
        </w:rPr>
        <w:t> </w:t>
      </w:r>
      <w:r>
        <w:rPr/>
        <w:t>Prosthetics National Disability Rights Network</w:t>
      </w:r>
    </w:p>
    <w:p>
      <w:pPr>
        <w:pStyle w:val="BodyText"/>
        <w:spacing w:before="1"/>
        <w:ind w:right="5296"/>
      </w:pPr>
      <w:r>
        <w:rPr/>
        <w:t>National</w:t>
      </w:r>
      <w:r>
        <w:rPr>
          <w:spacing w:val="-13"/>
        </w:rPr>
        <w:t> </w:t>
      </w:r>
      <w:r>
        <w:rPr/>
        <w:t>Multiple</w:t>
      </w:r>
      <w:r>
        <w:rPr>
          <w:spacing w:val="-13"/>
        </w:rPr>
        <w:t> </w:t>
      </w:r>
      <w:r>
        <w:rPr/>
        <w:t>Sclerosis</w:t>
      </w:r>
      <w:r>
        <w:rPr>
          <w:spacing w:val="-13"/>
        </w:rPr>
        <w:t> </w:t>
      </w:r>
      <w:r>
        <w:rPr/>
        <w:t>Society </w:t>
      </w:r>
      <w:r>
        <w:rPr>
          <w:spacing w:val="-2"/>
        </w:rPr>
        <w:t>NCART</w:t>
      </w:r>
    </w:p>
    <w:p>
      <w:pPr>
        <w:pStyle w:val="BodyText"/>
      </w:pPr>
      <w:r>
        <w:rPr>
          <w:spacing w:val="-2"/>
        </w:rPr>
        <w:t>RESNA</w:t>
      </w:r>
    </w:p>
    <w:p>
      <w:pPr>
        <w:pStyle w:val="Heading2"/>
        <w:rPr>
          <w:i/>
        </w:rPr>
      </w:pPr>
      <w:r>
        <w:rPr>
          <w:i/>
        </w:rPr>
        <w:t>Spina Bifida</w:t>
      </w:r>
      <w:r>
        <w:rPr>
          <w:i/>
          <w:spacing w:val="-2"/>
        </w:rPr>
        <w:t> Association*</w:t>
      </w:r>
    </w:p>
    <w:p>
      <w:pPr>
        <w:pStyle w:val="BodyText"/>
      </w:pPr>
      <w:r>
        <w:rPr/>
        <w:t>United</w:t>
      </w:r>
      <w:r>
        <w:rPr>
          <w:spacing w:val="-4"/>
        </w:rPr>
        <w:t> </w:t>
      </w:r>
      <w:r>
        <w:rPr/>
        <w:t>Cerebral</w:t>
      </w:r>
      <w:r>
        <w:rPr>
          <w:spacing w:val="-1"/>
        </w:rPr>
        <w:t> </w:t>
      </w:r>
      <w:r>
        <w:rPr>
          <w:spacing w:val="-4"/>
        </w:rPr>
        <w:t>Palsy</w:t>
      </w:r>
    </w:p>
    <w:p>
      <w:pPr>
        <w:pStyle w:val="BodyText"/>
      </w:pPr>
      <w:r>
        <w:rPr/>
        <w:t>United</w:t>
      </w:r>
      <w:r>
        <w:rPr>
          <w:spacing w:val="-1"/>
        </w:rPr>
        <w:t> </w:t>
      </w:r>
      <w:r>
        <w:rPr/>
        <w:t>Ostomy Associations</w:t>
      </w:r>
      <w:r>
        <w:rPr>
          <w:spacing w:val="-1"/>
        </w:rPr>
        <w:t> </w:t>
      </w:r>
      <w:r>
        <w:rPr/>
        <w:t>of </w:t>
      </w:r>
      <w:r>
        <w:rPr>
          <w:spacing w:val="-2"/>
        </w:rPr>
        <w:t>America</w:t>
      </w:r>
    </w:p>
    <w:p>
      <w:pPr>
        <w:pStyle w:val="Heading2"/>
        <w:rPr>
          <w:i/>
        </w:rPr>
      </w:pPr>
      <w:r>
        <w:rPr>
          <w:i/>
        </w:rPr>
        <w:t>United Spinal</w:t>
      </w:r>
      <w:r>
        <w:rPr>
          <w:i/>
          <w:spacing w:val="-2"/>
        </w:rPr>
        <w:t> Association*</w:t>
      </w:r>
    </w:p>
    <w:p>
      <w:pPr>
        <w:pStyle w:val="BodyText"/>
        <w:ind w:left="0"/>
        <w:rPr>
          <w:b/>
          <w:i/>
        </w:rPr>
      </w:pPr>
    </w:p>
    <w:p>
      <w:pPr>
        <w:spacing w:before="0"/>
        <w:ind w:left="100" w:right="0" w:firstLine="0"/>
        <w:jc w:val="left"/>
        <w:rPr>
          <w:b/>
          <w:i/>
          <w:sz w:val="24"/>
        </w:rPr>
      </w:pPr>
      <w:r>
        <w:rPr>
          <w:b/>
          <w:i/>
          <w:sz w:val="24"/>
        </w:rPr>
        <w:t>*Member</w:t>
      </w:r>
      <w:r>
        <w:rPr>
          <w:b/>
          <w:i/>
          <w:spacing w:val="-1"/>
          <w:sz w:val="24"/>
        </w:rPr>
        <w:t> </w:t>
      </w:r>
      <w:r>
        <w:rPr>
          <w:b/>
          <w:i/>
          <w:sz w:val="24"/>
        </w:rPr>
        <w:t>of</w:t>
      </w:r>
      <w:r>
        <w:rPr>
          <w:b/>
          <w:i/>
          <w:spacing w:val="-2"/>
          <w:sz w:val="24"/>
        </w:rPr>
        <w:t> </w:t>
      </w:r>
      <w:r>
        <w:rPr>
          <w:b/>
          <w:i/>
          <w:sz w:val="24"/>
        </w:rPr>
        <w:t>the</w:t>
      </w:r>
      <w:r>
        <w:rPr>
          <w:b/>
          <w:i/>
          <w:spacing w:val="-1"/>
          <w:sz w:val="24"/>
        </w:rPr>
        <w:t> </w:t>
      </w:r>
      <w:r>
        <w:rPr>
          <w:b/>
          <w:i/>
          <w:sz w:val="24"/>
        </w:rPr>
        <w:t>ITEM</w:t>
      </w:r>
      <w:r>
        <w:rPr>
          <w:b/>
          <w:i/>
          <w:spacing w:val="-1"/>
          <w:sz w:val="24"/>
        </w:rPr>
        <w:t> </w:t>
      </w:r>
      <w:r>
        <w:rPr>
          <w:b/>
          <w:i/>
          <w:sz w:val="24"/>
        </w:rPr>
        <w:t>Coalition</w:t>
      </w:r>
      <w:r>
        <w:rPr>
          <w:b/>
          <w:i/>
          <w:spacing w:val="-1"/>
          <w:sz w:val="24"/>
        </w:rPr>
        <w:t> </w:t>
      </w:r>
      <w:r>
        <w:rPr>
          <w:b/>
          <w:i/>
          <w:sz w:val="24"/>
        </w:rPr>
        <w:t>Steering </w:t>
      </w:r>
      <w:r>
        <w:rPr>
          <w:b/>
          <w:i/>
          <w:spacing w:val="-2"/>
          <w:sz w:val="24"/>
        </w:rPr>
        <w:t>Committee</w:t>
      </w: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ind w:left="0"/>
        <w:rPr>
          <w:b/>
          <w:i/>
        </w:rPr>
      </w:pPr>
    </w:p>
    <w:p>
      <w:pPr>
        <w:pStyle w:val="BodyText"/>
        <w:spacing w:before="169"/>
        <w:ind w:left="0"/>
        <w:rPr>
          <w:b/>
          <w:i/>
        </w:rPr>
      </w:pPr>
    </w:p>
    <w:p>
      <w:pPr>
        <w:pStyle w:val="BodyText"/>
        <w:ind w:left="2"/>
        <w:jc w:val="center"/>
      </w:pPr>
      <w:r>
        <w:rPr>
          <w:spacing w:val="-10"/>
        </w:rPr>
        <w:t>3</w:t>
      </w:r>
    </w:p>
    <w:sectPr>
      <w:pgSz w:w="12240" w:h="15840"/>
      <w:pgMar w:header="0" w:footer="231" w:top="1640" w:bottom="4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2304">
              <wp:simplePos x="0" y="0"/>
              <wp:positionH relativeFrom="page">
                <wp:posOffset>902004</wp:posOffset>
              </wp:positionH>
              <wp:positionV relativeFrom="page">
                <wp:posOffset>9771908</wp:posOffset>
              </wp:positionV>
              <wp:extent cx="99314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93140" cy="139700"/>
                      </a:xfrm>
                      <a:prstGeom prst="rect">
                        <a:avLst/>
                      </a:prstGeom>
                    </wps:spPr>
                    <wps:txbx>
                      <w:txbxContent>
                        <w:p>
                          <w:pPr>
                            <w:spacing w:before="15"/>
                            <w:ind w:left="20" w:right="0" w:firstLine="0"/>
                            <w:jc w:val="left"/>
                            <w:rPr>
                              <w:rFonts w:ascii="Arial"/>
                              <w:sz w:val="16"/>
                            </w:rPr>
                          </w:pPr>
                          <w:r>
                            <w:rPr>
                              <w:rFonts w:ascii="Arial"/>
                              <w:sz w:val="16"/>
                            </w:rPr>
                            <w:t>4937-2877-1180,</w:t>
                          </w:r>
                          <w:r>
                            <w:rPr>
                              <w:rFonts w:ascii="Arial"/>
                              <w:spacing w:val="-8"/>
                              <w:sz w:val="16"/>
                            </w:rPr>
                            <w:t> </w:t>
                          </w:r>
                          <w:r>
                            <w:rPr>
                              <w:rFonts w:ascii="Arial"/>
                              <w:sz w:val="16"/>
                            </w:rPr>
                            <w:t>v.</w:t>
                          </w:r>
                          <w:r>
                            <w:rPr>
                              <w:rFonts w:ascii="Arial"/>
                              <w:spacing w:val="-6"/>
                              <w:sz w:val="16"/>
                            </w:rPr>
                            <w:t> </w:t>
                          </w:r>
                          <w:r>
                            <w:rPr>
                              <w:rFonts w:ascii="Arial"/>
                              <w:spacing w:val="-10"/>
                              <w:sz w:val="16"/>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69.441589pt;width:78.2pt;height:11pt;mso-position-horizontal-relative:page;mso-position-vertical-relative:page;z-index:-15794176" type="#_x0000_t202" id="docshape1" filled="false" stroked="false">
              <v:textbox inset="0,0,0,0">
                <w:txbxContent>
                  <w:p>
                    <w:pPr>
                      <w:spacing w:before="15"/>
                      <w:ind w:left="20" w:right="0" w:firstLine="0"/>
                      <w:jc w:val="left"/>
                      <w:rPr>
                        <w:rFonts w:ascii="Arial"/>
                        <w:sz w:val="16"/>
                      </w:rPr>
                    </w:pPr>
                    <w:r>
                      <w:rPr>
                        <w:rFonts w:ascii="Arial"/>
                        <w:sz w:val="16"/>
                      </w:rPr>
                      <w:t>4937-2877-1180,</w:t>
                    </w:r>
                    <w:r>
                      <w:rPr>
                        <w:rFonts w:ascii="Arial"/>
                        <w:spacing w:val="-8"/>
                        <w:sz w:val="16"/>
                      </w:rPr>
                      <w:t> </w:t>
                    </w:r>
                    <w:r>
                      <w:rPr>
                        <w:rFonts w:ascii="Arial"/>
                        <w:sz w:val="16"/>
                      </w:rPr>
                      <w:t>v.</w:t>
                    </w:r>
                    <w:r>
                      <w:rPr>
                        <w:rFonts w:ascii="Arial"/>
                        <w:spacing w:val="-6"/>
                        <w:sz w:val="16"/>
                      </w:rPr>
                      <w:t> </w:t>
                    </w:r>
                    <w:r>
                      <w:rPr>
                        <w:rFonts w:ascii="Arial"/>
                        <w:spacing w:val="-10"/>
                        <w:sz w:val="16"/>
                      </w:rPr>
                      <w:t>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UBMITTEDELECTRONICALLY(URORECON@NORIDIAN.COM" TargetMode="External"/><Relationship Id="rId7" Type="http://schemas.openxmlformats.org/officeDocument/2006/relationships/hyperlink" Target="http://www.itemcoalition.org/" TargetMode="External"/><Relationship Id="rId8" Type="http://schemas.openxmlformats.org/officeDocument/2006/relationships/footer" Target="footer1.xml"/><Relationship Id="rId9" Type="http://schemas.openxmlformats.org/officeDocument/2006/relationships/hyperlink" Target="mailto:Peter.Thomas@PowersLaw.com" TargetMode="External"/><Relationship Id="rId10" Type="http://schemas.openxmlformats.org/officeDocument/2006/relationships/hyperlink" Target="mailto:Leela.Baggett@PowersLaw.com" TargetMode="External"/><Relationship Id="rId11"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2025-10-16T21:55:50Z</dcterms:created>
  <dcterms:modified xsi:type="dcterms:W3CDTF">2025-10-16T21:55:50Z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Microsoft® Word for Microsoft 365</vt:lpwstr>
  </property>
</Properties>
</file>