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0"/>
        </w:rPr>
      </w:pPr>
      <w:r>
        <w:rPr>
          <w:rFonts w:ascii="Times New Roman"/>
          <w:sz w:val="20"/>
        </w:rPr>
        <w:drawing>
          <wp:inline distT="0" distB="0" distL="0" distR="0">
            <wp:extent cx="2686280" cy="750665"/>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686280" cy="750665"/>
                    </a:xfrm>
                    <a:prstGeom prst="rect">
                      <a:avLst/>
                    </a:prstGeom>
                  </pic:spPr>
                </pic:pic>
              </a:graphicData>
            </a:graphic>
          </wp:inline>
        </w:drawing>
      </w:r>
      <w:r>
        <w:rPr>
          <w:rFonts w:ascii="Times New Roman"/>
          <w:sz w:val="20"/>
        </w:rPr>
      </w:r>
    </w:p>
    <w:p>
      <w:pPr>
        <w:pStyle w:val="BodyText"/>
        <w:spacing w:before="257"/>
      </w:pPr>
      <w:r>
        <w:rPr/>
        <w:t>May</w:t>
      </w:r>
      <w:r>
        <w:rPr>
          <w:spacing w:val="-1"/>
        </w:rPr>
        <w:t> </w:t>
      </w:r>
      <w:r>
        <w:rPr/>
        <w:t>12, </w:t>
      </w:r>
      <w:r>
        <w:rPr>
          <w:spacing w:val="-4"/>
        </w:rPr>
        <w:t>2025</w:t>
      </w:r>
    </w:p>
    <w:p>
      <w:pPr>
        <w:pStyle w:val="BodyText"/>
        <w:spacing w:before="270"/>
      </w:pPr>
      <w:r>
        <w:rPr/>
        <w:t>Russell</w:t>
      </w:r>
      <w:r>
        <w:rPr>
          <w:spacing w:val="-2"/>
        </w:rPr>
        <w:t> </w:t>
      </w:r>
      <w:r>
        <w:rPr/>
        <w:t>T.</w:t>
      </w:r>
      <w:r>
        <w:rPr>
          <w:spacing w:val="-1"/>
        </w:rPr>
        <w:t> </w:t>
      </w:r>
      <w:r>
        <w:rPr/>
        <w:t>Vought,</w:t>
      </w:r>
      <w:r>
        <w:rPr>
          <w:spacing w:val="-1"/>
        </w:rPr>
        <w:t> </w:t>
      </w:r>
      <w:r>
        <w:rPr>
          <w:spacing w:val="-2"/>
        </w:rPr>
        <w:t>Director</w:t>
      </w:r>
    </w:p>
    <w:p>
      <w:pPr>
        <w:pStyle w:val="BodyText"/>
        <w:spacing w:before="1"/>
        <w:ind w:right="5185"/>
      </w:pPr>
      <w:r>
        <w:rPr/>
        <w:t>Office</w:t>
      </w:r>
      <w:r>
        <w:rPr>
          <w:spacing w:val="-8"/>
        </w:rPr>
        <w:t> </w:t>
      </w:r>
      <w:r>
        <w:rPr/>
        <w:t>of</w:t>
      </w:r>
      <w:r>
        <w:rPr>
          <w:spacing w:val="-8"/>
        </w:rPr>
        <w:t> </w:t>
      </w:r>
      <w:r>
        <w:rPr/>
        <w:t>Management</w:t>
      </w:r>
      <w:r>
        <w:rPr>
          <w:spacing w:val="-8"/>
        </w:rPr>
        <w:t> </w:t>
      </w:r>
      <w:r>
        <w:rPr/>
        <w:t>and</w:t>
      </w:r>
      <w:r>
        <w:rPr>
          <w:spacing w:val="-8"/>
        </w:rPr>
        <w:t> </w:t>
      </w:r>
      <w:r>
        <w:rPr/>
        <w:t>Budget</w:t>
      </w:r>
      <w:r>
        <w:rPr>
          <w:spacing w:val="-8"/>
        </w:rPr>
        <w:t> </w:t>
      </w:r>
      <w:r>
        <w:rPr/>
        <w:t>(OMB) Room 252</w:t>
      </w:r>
    </w:p>
    <w:p>
      <w:pPr>
        <w:pStyle w:val="BodyText"/>
        <w:spacing w:line="237" w:lineRule="auto" w:before="4"/>
        <w:ind w:right="5730"/>
      </w:pPr>
      <w:r>
        <w:rPr/>
        <w:t>Eisenhower Executive Office Building</w:t>
      </w:r>
      <w:r>
        <w:rPr>
          <w:spacing w:val="40"/>
        </w:rPr>
        <w:t> </w:t>
      </w:r>
      <w:r>
        <w:rPr/>
        <w:t>17th</w:t>
      </w:r>
      <w:r>
        <w:rPr>
          <w:spacing w:val="-9"/>
        </w:rPr>
        <w:t> </w:t>
      </w:r>
      <w:r>
        <w:rPr/>
        <w:t>Street</w:t>
      </w:r>
      <w:r>
        <w:rPr>
          <w:spacing w:val="-8"/>
        </w:rPr>
        <w:t> </w:t>
      </w:r>
      <w:r>
        <w:rPr/>
        <w:t>and</w:t>
      </w:r>
      <w:r>
        <w:rPr>
          <w:spacing w:val="-8"/>
        </w:rPr>
        <w:t> </w:t>
      </w:r>
      <w:r>
        <w:rPr/>
        <w:t>Pennsylvania</w:t>
      </w:r>
      <w:r>
        <w:rPr>
          <w:spacing w:val="-8"/>
        </w:rPr>
        <w:t> </w:t>
      </w:r>
      <w:r>
        <w:rPr/>
        <w:t>Avenue,</w:t>
      </w:r>
      <w:r>
        <w:rPr>
          <w:spacing w:val="-9"/>
        </w:rPr>
        <w:t> </w:t>
      </w:r>
      <w:r>
        <w:rPr/>
        <w:t>NW Washington, DC 20504</w:t>
      </w:r>
    </w:p>
    <w:p>
      <w:pPr>
        <w:pStyle w:val="BodyText"/>
        <w:spacing w:before="5"/>
        <w:ind w:left="0"/>
      </w:pPr>
    </w:p>
    <w:p>
      <w:pPr>
        <w:spacing w:before="0"/>
        <w:ind w:left="100" w:right="0" w:firstLine="0"/>
        <w:jc w:val="left"/>
        <w:rPr>
          <w:i/>
          <w:sz w:val="24"/>
        </w:rPr>
      </w:pPr>
      <w:r>
        <w:rPr>
          <w:i/>
          <w:sz w:val="24"/>
        </w:rPr>
        <w:t>OMB</w:t>
      </w:r>
      <w:r>
        <w:rPr>
          <w:i/>
          <w:spacing w:val="-4"/>
          <w:sz w:val="24"/>
        </w:rPr>
        <w:t> </w:t>
      </w:r>
      <w:r>
        <w:rPr>
          <w:i/>
          <w:sz w:val="24"/>
        </w:rPr>
        <w:t>Request</w:t>
      </w:r>
      <w:r>
        <w:rPr>
          <w:i/>
          <w:spacing w:val="-3"/>
          <w:sz w:val="24"/>
        </w:rPr>
        <w:t> </w:t>
      </w:r>
      <w:r>
        <w:rPr>
          <w:i/>
          <w:sz w:val="24"/>
        </w:rPr>
        <w:t>for</w:t>
      </w:r>
      <w:r>
        <w:rPr>
          <w:i/>
          <w:spacing w:val="-3"/>
          <w:sz w:val="24"/>
        </w:rPr>
        <w:t> </w:t>
      </w:r>
      <w:r>
        <w:rPr>
          <w:i/>
          <w:sz w:val="24"/>
        </w:rPr>
        <w:t>Information:</w:t>
      </w:r>
      <w:r>
        <w:rPr>
          <w:i/>
          <w:spacing w:val="-3"/>
          <w:sz w:val="24"/>
        </w:rPr>
        <w:t> </w:t>
      </w:r>
      <w:r>
        <w:rPr>
          <w:i/>
          <w:spacing w:val="-2"/>
          <w:sz w:val="24"/>
        </w:rPr>
        <w:t>Deregulation</w:t>
      </w:r>
    </w:p>
    <w:p>
      <w:pPr>
        <w:pStyle w:val="BodyText"/>
        <w:spacing w:before="1"/>
        <w:ind w:left="0"/>
        <w:rPr>
          <w:i/>
        </w:rPr>
      </w:pPr>
    </w:p>
    <w:p>
      <w:pPr>
        <w:pStyle w:val="BodyText"/>
        <w:spacing w:before="1"/>
      </w:pPr>
      <w:r>
        <w:rPr/>
        <w:t>Dear</w:t>
      </w:r>
      <w:r>
        <w:rPr>
          <w:spacing w:val="-1"/>
        </w:rPr>
        <w:t> </w:t>
      </w:r>
      <w:r>
        <w:rPr/>
        <w:t>Director </w:t>
      </w:r>
      <w:r>
        <w:rPr>
          <w:spacing w:val="-2"/>
        </w:rPr>
        <w:t>Vought,</w:t>
      </w:r>
    </w:p>
    <w:p>
      <w:pPr>
        <w:pStyle w:val="BodyText"/>
        <w:spacing w:before="269"/>
        <w:ind w:right="348"/>
      </w:pPr>
      <w:r>
        <w:rPr/>
        <w:t>On behalf of the American Council on Education and the undersigned higher education associations, we write regarding the request for information on areas for deregulation across the</w:t>
      </w:r>
      <w:r>
        <w:rPr>
          <w:spacing w:val="-4"/>
        </w:rPr>
        <w:t> </w:t>
      </w:r>
      <w:r>
        <w:rPr/>
        <w:t>federal</w:t>
      </w:r>
      <w:r>
        <w:rPr>
          <w:spacing w:val="-5"/>
        </w:rPr>
        <w:t> </w:t>
      </w:r>
      <w:r>
        <w:rPr/>
        <w:t>government,</w:t>
      </w:r>
      <w:r>
        <w:rPr>
          <w:spacing w:val="-5"/>
        </w:rPr>
        <w:t> </w:t>
      </w:r>
      <w:r>
        <w:rPr/>
        <w:t>including</w:t>
      </w:r>
      <w:r>
        <w:rPr>
          <w:spacing w:val="-4"/>
        </w:rPr>
        <w:t> </w:t>
      </w:r>
      <w:r>
        <w:rPr/>
        <w:t>addressing</w:t>
      </w:r>
      <w:r>
        <w:rPr>
          <w:spacing w:val="-5"/>
        </w:rPr>
        <w:t> </w:t>
      </w:r>
      <w:r>
        <w:rPr/>
        <w:t>any</w:t>
      </w:r>
      <w:r>
        <w:rPr>
          <w:spacing w:val="-4"/>
        </w:rPr>
        <w:t> </w:t>
      </w:r>
      <w:r>
        <w:rPr/>
        <w:t>regulations</w:t>
      </w:r>
      <w:r>
        <w:rPr>
          <w:spacing w:val="-4"/>
        </w:rPr>
        <w:t> </w:t>
      </w:r>
      <w:r>
        <w:rPr/>
        <w:t>currently</w:t>
      </w:r>
      <w:r>
        <w:rPr>
          <w:spacing w:val="-4"/>
        </w:rPr>
        <w:t> </w:t>
      </w:r>
      <w:r>
        <w:rPr/>
        <w:t>in</w:t>
      </w:r>
      <w:r>
        <w:rPr>
          <w:spacing w:val="-4"/>
        </w:rPr>
        <w:t> </w:t>
      </w:r>
      <w:r>
        <w:rPr/>
        <w:t>effect.</w:t>
      </w:r>
      <w:r>
        <w:rPr>
          <w:spacing w:val="-4"/>
        </w:rPr>
        <w:t> </w:t>
      </w:r>
      <w:r>
        <w:rPr/>
        <w:t>While</w:t>
      </w:r>
      <w:r>
        <w:rPr>
          <w:spacing w:val="-4"/>
        </w:rPr>
        <w:t> </w:t>
      </w:r>
      <w:r>
        <w:rPr/>
        <w:t>many federal regulations serve a valuable role in promoting accountability, transparency, and student success, there are many examples of regulations that are duplicative, redundant or poorly-targeted that increase burden and cost to colleges and universities.</w:t>
      </w:r>
    </w:p>
    <w:p>
      <w:pPr>
        <w:pStyle w:val="BodyText"/>
        <w:spacing w:before="2"/>
        <w:ind w:left="0"/>
      </w:pPr>
    </w:p>
    <w:p>
      <w:pPr>
        <w:pStyle w:val="BodyText"/>
        <w:ind w:right="131"/>
      </w:pPr>
      <w:r>
        <w:rPr/>
        <w:t>In 2015, the higher education community produced a report on federal regulation of higher education to identify recommendations regarding burdensome regulations, at the request of a bipartisan group of U.S. senators.</w:t>
      </w:r>
      <w:r>
        <w:rPr>
          <w:position w:val="6"/>
          <w:sz w:val="16"/>
        </w:rPr>
        <w:t>1</w:t>
      </w:r>
      <w:r>
        <w:rPr>
          <w:spacing w:val="30"/>
          <w:position w:val="6"/>
          <w:sz w:val="16"/>
        </w:rPr>
        <w:t> </w:t>
      </w:r>
      <w:r>
        <w:rPr/>
        <w:t>The report noted that institutions must often allocate resources to compliance that would be better applied to student education, safety, and innovation in instructional delivery. In addition, the report concluded that “many rules are unnecessarily voluminous and too often ambiguous, and that the cost of compliance has become unreasonable. Moreover, many regulations are unrelated to education, student safety, or</w:t>
      </w:r>
      <w:r>
        <w:rPr>
          <w:spacing w:val="-3"/>
        </w:rPr>
        <w:t> </w:t>
      </w:r>
      <w:r>
        <w:rPr/>
        <w:t>stewardship</w:t>
      </w:r>
      <w:r>
        <w:rPr>
          <w:spacing w:val="-3"/>
        </w:rPr>
        <w:t> </w:t>
      </w:r>
      <w:r>
        <w:rPr/>
        <w:t>of</w:t>
      </w:r>
      <w:r>
        <w:rPr>
          <w:spacing w:val="-3"/>
        </w:rPr>
        <w:t> </w:t>
      </w:r>
      <w:r>
        <w:rPr/>
        <w:t>federal</w:t>
      </w:r>
      <w:r>
        <w:rPr>
          <w:spacing w:val="-4"/>
        </w:rPr>
        <w:t> </w:t>
      </w:r>
      <w:r>
        <w:rPr/>
        <w:t>funds—and</w:t>
      </w:r>
      <w:r>
        <w:rPr>
          <w:spacing w:val="-3"/>
        </w:rPr>
        <w:t> </w:t>
      </w:r>
      <w:r>
        <w:rPr/>
        <w:t>others</w:t>
      </w:r>
      <w:r>
        <w:rPr>
          <w:spacing w:val="-3"/>
        </w:rPr>
        <w:t> </w:t>
      </w:r>
      <w:r>
        <w:rPr/>
        <w:t>can</w:t>
      </w:r>
      <w:r>
        <w:rPr>
          <w:spacing w:val="-3"/>
        </w:rPr>
        <w:t> </w:t>
      </w:r>
      <w:r>
        <w:rPr/>
        <w:t>be</w:t>
      </w:r>
      <w:r>
        <w:rPr>
          <w:spacing w:val="-3"/>
        </w:rPr>
        <w:t> </w:t>
      </w:r>
      <w:r>
        <w:rPr/>
        <w:t>a</w:t>
      </w:r>
      <w:r>
        <w:rPr>
          <w:spacing w:val="-3"/>
        </w:rPr>
        <w:t> </w:t>
      </w:r>
      <w:r>
        <w:rPr/>
        <w:t>barrier</w:t>
      </w:r>
      <w:r>
        <w:rPr>
          <w:spacing w:val="-3"/>
        </w:rPr>
        <w:t> </w:t>
      </w:r>
      <w:r>
        <w:rPr/>
        <w:t>to</w:t>
      </w:r>
      <w:r>
        <w:rPr>
          <w:spacing w:val="-3"/>
        </w:rPr>
        <w:t> </w:t>
      </w:r>
      <w:r>
        <w:rPr/>
        <w:t>college</w:t>
      </w:r>
      <w:r>
        <w:rPr>
          <w:spacing w:val="-3"/>
        </w:rPr>
        <w:t> </w:t>
      </w:r>
      <w:r>
        <w:rPr/>
        <w:t>access</w:t>
      </w:r>
      <w:r>
        <w:rPr>
          <w:spacing w:val="-3"/>
        </w:rPr>
        <w:t> </w:t>
      </w:r>
      <w:r>
        <w:rPr/>
        <w:t>and</w:t>
      </w:r>
      <w:r>
        <w:rPr>
          <w:spacing w:val="-3"/>
        </w:rPr>
        <w:t> </w:t>
      </w:r>
      <w:r>
        <w:rPr/>
        <w:t>innovation</w:t>
      </w:r>
      <w:r>
        <w:rPr>
          <w:spacing w:val="-3"/>
        </w:rPr>
        <w:t> </w:t>
      </w:r>
      <w:r>
        <w:rPr/>
        <w:t>in education.” While the report was written almost a decade ago, the task force also created a list of guiding principles to “govern the development, implementation, and enforcement of regulations.” We believe those guiding principles can be helpful in efforts to look at deregulation, specifically at the U.S. Department of Education (Department), as well as in the implementation of executive orders and other policies by the administration:</w:t>
      </w:r>
    </w:p>
    <w:p>
      <w:pPr>
        <w:pStyle w:val="BodyText"/>
        <w:spacing w:before="1"/>
        <w:ind w:left="0"/>
      </w:pPr>
    </w:p>
    <w:p>
      <w:pPr>
        <w:pStyle w:val="ListParagraph"/>
        <w:numPr>
          <w:ilvl w:val="0"/>
          <w:numId w:val="1"/>
        </w:numPr>
        <w:tabs>
          <w:tab w:pos="820" w:val="left" w:leader="none"/>
        </w:tabs>
        <w:spacing w:line="240" w:lineRule="auto" w:before="0" w:after="0"/>
        <w:ind w:left="820" w:right="409" w:hanging="360"/>
        <w:jc w:val="left"/>
        <w:rPr>
          <w:sz w:val="24"/>
        </w:rPr>
      </w:pPr>
      <w:r>
        <w:rPr>
          <w:sz w:val="24"/>
        </w:rPr>
        <w:t>Regulations</w:t>
      </w:r>
      <w:r>
        <w:rPr>
          <w:spacing w:val="-4"/>
          <w:sz w:val="24"/>
        </w:rPr>
        <w:t> </w:t>
      </w:r>
      <w:r>
        <w:rPr>
          <w:sz w:val="24"/>
        </w:rPr>
        <w:t>should</w:t>
      </w:r>
      <w:r>
        <w:rPr>
          <w:spacing w:val="-4"/>
          <w:sz w:val="24"/>
        </w:rPr>
        <w:t> </w:t>
      </w:r>
      <w:r>
        <w:rPr>
          <w:sz w:val="24"/>
        </w:rPr>
        <w:t>be</w:t>
      </w:r>
      <w:r>
        <w:rPr>
          <w:spacing w:val="-4"/>
          <w:sz w:val="24"/>
        </w:rPr>
        <w:t> </w:t>
      </w:r>
      <w:r>
        <w:rPr>
          <w:sz w:val="24"/>
        </w:rPr>
        <w:t>related</w:t>
      </w:r>
      <w:r>
        <w:rPr>
          <w:spacing w:val="-4"/>
          <w:sz w:val="24"/>
        </w:rPr>
        <w:t> </w:t>
      </w:r>
      <w:r>
        <w:rPr>
          <w:sz w:val="24"/>
        </w:rPr>
        <w:t>to</w:t>
      </w:r>
      <w:r>
        <w:rPr>
          <w:spacing w:val="-4"/>
          <w:sz w:val="24"/>
        </w:rPr>
        <w:t> </w:t>
      </w:r>
      <w:r>
        <w:rPr>
          <w:sz w:val="24"/>
        </w:rPr>
        <w:t>education,</w:t>
      </w:r>
      <w:r>
        <w:rPr>
          <w:spacing w:val="-5"/>
          <w:sz w:val="24"/>
        </w:rPr>
        <w:t> </w:t>
      </w:r>
      <w:r>
        <w:rPr>
          <w:sz w:val="24"/>
        </w:rPr>
        <w:t>student</w:t>
      </w:r>
      <w:r>
        <w:rPr>
          <w:spacing w:val="-4"/>
          <w:sz w:val="24"/>
        </w:rPr>
        <w:t> </w:t>
      </w:r>
      <w:r>
        <w:rPr>
          <w:sz w:val="24"/>
        </w:rPr>
        <w:t>safety,</w:t>
      </w:r>
      <w:r>
        <w:rPr>
          <w:spacing w:val="-5"/>
          <w:sz w:val="24"/>
        </w:rPr>
        <w:t> </w:t>
      </w:r>
      <w:r>
        <w:rPr>
          <w:sz w:val="24"/>
        </w:rPr>
        <w:t>and</w:t>
      </w:r>
      <w:r>
        <w:rPr>
          <w:spacing w:val="-4"/>
          <w:sz w:val="24"/>
        </w:rPr>
        <w:t> </w:t>
      </w:r>
      <w:r>
        <w:rPr>
          <w:sz w:val="24"/>
        </w:rPr>
        <w:t>stewardship</w:t>
      </w:r>
      <w:r>
        <w:rPr>
          <w:spacing w:val="-4"/>
          <w:sz w:val="24"/>
        </w:rPr>
        <w:t> </w:t>
      </w:r>
      <w:r>
        <w:rPr>
          <w:sz w:val="24"/>
        </w:rPr>
        <w:t>of</w:t>
      </w:r>
      <w:r>
        <w:rPr>
          <w:spacing w:val="-4"/>
          <w:sz w:val="24"/>
        </w:rPr>
        <w:t> </w:t>
      </w:r>
      <w:r>
        <w:rPr>
          <w:sz w:val="24"/>
        </w:rPr>
        <w:t>federal </w:t>
      </w:r>
      <w:r>
        <w:rPr>
          <w:spacing w:val="-2"/>
          <w:sz w:val="24"/>
        </w:rPr>
        <w:t>funds.</w:t>
      </w:r>
    </w:p>
    <w:p>
      <w:pPr>
        <w:pStyle w:val="ListParagraph"/>
        <w:numPr>
          <w:ilvl w:val="0"/>
          <w:numId w:val="1"/>
        </w:numPr>
        <w:tabs>
          <w:tab w:pos="819" w:val="left" w:leader="none"/>
        </w:tabs>
        <w:spacing w:line="293" w:lineRule="exact" w:before="0" w:after="0"/>
        <w:ind w:left="819" w:right="0" w:hanging="359"/>
        <w:jc w:val="left"/>
        <w:rPr>
          <w:sz w:val="24"/>
        </w:rPr>
      </w:pPr>
      <w:r>
        <w:rPr>
          <w:sz w:val="24"/>
        </w:rPr>
        <w:t>Regulations</w:t>
      </w:r>
      <w:r>
        <w:rPr>
          <w:spacing w:val="-1"/>
          <w:sz w:val="24"/>
        </w:rPr>
        <w:t> </w:t>
      </w:r>
      <w:r>
        <w:rPr>
          <w:sz w:val="24"/>
        </w:rPr>
        <w:t>should be</w:t>
      </w:r>
      <w:r>
        <w:rPr>
          <w:spacing w:val="-1"/>
          <w:sz w:val="24"/>
        </w:rPr>
        <w:t> </w:t>
      </w:r>
      <w:r>
        <w:rPr>
          <w:sz w:val="24"/>
        </w:rPr>
        <w:t>clear and </w:t>
      </w:r>
      <w:r>
        <w:rPr>
          <w:spacing w:val="-2"/>
          <w:sz w:val="24"/>
        </w:rPr>
        <w:t>comprehensible.</w:t>
      </w:r>
    </w:p>
    <w:p>
      <w:pPr>
        <w:pStyle w:val="ListParagraph"/>
        <w:numPr>
          <w:ilvl w:val="0"/>
          <w:numId w:val="1"/>
        </w:numPr>
        <w:tabs>
          <w:tab w:pos="819" w:val="left" w:leader="none"/>
        </w:tabs>
        <w:spacing w:line="293" w:lineRule="exact" w:before="0" w:after="0"/>
        <w:ind w:left="819" w:right="0" w:hanging="359"/>
        <w:jc w:val="left"/>
        <w:rPr>
          <w:sz w:val="24"/>
        </w:rPr>
      </w:pPr>
      <w:r>
        <w:rPr>
          <w:sz w:val="24"/>
        </w:rPr>
        <w:t>Regulations</w:t>
      </w:r>
      <w:r>
        <w:rPr>
          <w:spacing w:val="-3"/>
          <w:sz w:val="24"/>
        </w:rPr>
        <w:t> </w:t>
      </w:r>
      <w:r>
        <w:rPr>
          <w:sz w:val="24"/>
        </w:rPr>
        <w:t>should not</w:t>
      </w:r>
      <w:r>
        <w:rPr>
          <w:spacing w:val="-1"/>
          <w:sz w:val="24"/>
        </w:rPr>
        <w:t> </w:t>
      </w:r>
      <w:r>
        <w:rPr>
          <w:sz w:val="24"/>
        </w:rPr>
        <w:t>stray from clearly</w:t>
      </w:r>
      <w:r>
        <w:rPr>
          <w:spacing w:val="-1"/>
          <w:sz w:val="24"/>
        </w:rPr>
        <w:t> </w:t>
      </w:r>
      <w:r>
        <w:rPr>
          <w:sz w:val="24"/>
        </w:rPr>
        <w:t>stated legislative </w:t>
      </w:r>
      <w:r>
        <w:rPr>
          <w:spacing w:val="-2"/>
          <w:sz w:val="24"/>
        </w:rPr>
        <w:t>intent.</w:t>
      </w:r>
    </w:p>
    <w:p>
      <w:pPr>
        <w:pStyle w:val="ListParagraph"/>
        <w:numPr>
          <w:ilvl w:val="0"/>
          <w:numId w:val="1"/>
        </w:numPr>
        <w:tabs>
          <w:tab w:pos="819" w:val="left" w:leader="none"/>
        </w:tabs>
        <w:spacing w:line="293" w:lineRule="exact" w:before="0" w:after="0"/>
        <w:ind w:left="819" w:right="0" w:hanging="359"/>
        <w:jc w:val="left"/>
        <w:rPr>
          <w:sz w:val="24"/>
        </w:rPr>
      </w:pPr>
      <w:r>
        <w:rPr>
          <w:sz w:val="24"/>
        </w:rPr>
        <w:t>Costs</w:t>
      </w:r>
      <w:r>
        <w:rPr>
          <w:spacing w:val="-1"/>
          <w:sz w:val="24"/>
        </w:rPr>
        <w:t> </w:t>
      </w:r>
      <w:r>
        <w:rPr>
          <w:sz w:val="24"/>
        </w:rPr>
        <w:t>and burdens of regulations</w:t>
      </w:r>
      <w:r>
        <w:rPr>
          <w:spacing w:val="-1"/>
          <w:sz w:val="24"/>
        </w:rPr>
        <w:t> </w:t>
      </w:r>
      <w:r>
        <w:rPr>
          <w:sz w:val="24"/>
        </w:rPr>
        <w:t>should be accurately </w:t>
      </w:r>
      <w:r>
        <w:rPr>
          <w:spacing w:val="-2"/>
          <w:sz w:val="24"/>
        </w:rPr>
        <w:t>estimated.</w:t>
      </w:r>
    </w:p>
    <w:p>
      <w:pPr>
        <w:pStyle w:val="BodyText"/>
        <w:ind w:left="0"/>
        <w:rPr>
          <w:sz w:val="16"/>
        </w:rPr>
      </w:pPr>
      <w:r>
        <w:rPr/>
        <mc:AlternateContent>
          <mc:Choice Requires="wps">
            <w:drawing>
              <wp:anchor distT="0" distB="0" distL="0" distR="0" allowOverlap="1" layoutInCell="1" locked="0" behindDoc="1" simplePos="0" relativeHeight="487587840">
                <wp:simplePos x="0" y="0"/>
                <wp:positionH relativeFrom="page">
                  <wp:posOffset>685800</wp:posOffset>
                </wp:positionH>
                <wp:positionV relativeFrom="paragraph">
                  <wp:posOffset>131258</wp:posOffset>
                </wp:positionV>
                <wp:extent cx="1828800" cy="9525"/>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4pt;margin-top:10.335345pt;width:144pt;height:.72pt;mso-position-horizontal-relative:page;mso-position-vertical-relative:paragraph;z-index:-15728640;mso-wrap-distance-left:0;mso-wrap-distance-right:0" id="docshape1" filled="true" fillcolor="#000000" stroked="false">
                <v:fill type="solid"/>
                <w10:wrap type="topAndBottom"/>
              </v:rect>
            </w:pict>
          </mc:Fallback>
        </mc:AlternateContent>
      </w:r>
    </w:p>
    <w:p>
      <w:pPr>
        <w:spacing w:before="112"/>
        <w:ind w:left="100" w:right="131" w:firstLine="0"/>
        <w:jc w:val="left"/>
        <w:rPr>
          <w:sz w:val="20"/>
        </w:rPr>
      </w:pPr>
      <w:r>
        <w:rPr>
          <w:rFonts w:ascii="Calibri" w:hAnsi="Calibri"/>
          <w:sz w:val="20"/>
          <w:vertAlign w:val="superscript"/>
        </w:rPr>
        <w:t>1</w:t>
      </w:r>
      <w:r>
        <w:rPr>
          <w:rFonts w:ascii="Calibri" w:hAnsi="Calibri"/>
          <w:sz w:val="20"/>
          <w:vertAlign w:val="baseline"/>
        </w:rPr>
        <w:t> </w:t>
      </w:r>
      <w:r>
        <w:rPr>
          <w:sz w:val="20"/>
          <w:vertAlign w:val="baseline"/>
        </w:rPr>
        <w:t>“Recalibrating Regulation of Colleges and Universities: Report on the Task Force on Federal Regulation of Higher</w:t>
      </w:r>
      <w:r>
        <w:rPr>
          <w:spacing w:val="-13"/>
          <w:sz w:val="20"/>
          <w:vertAlign w:val="baseline"/>
        </w:rPr>
        <w:t> </w:t>
      </w:r>
      <w:r>
        <w:rPr>
          <w:sz w:val="20"/>
          <w:vertAlign w:val="baseline"/>
        </w:rPr>
        <w:t>Education”,</w:t>
      </w:r>
      <w:r>
        <w:rPr>
          <w:spacing w:val="-12"/>
          <w:sz w:val="20"/>
          <w:vertAlign w:val="baseline"/>
        </w:rPr>
        <w:t> </w:t>
      </w:r>
      <w:r>
        <w:rPr>
          <w:color w:val="0563C1"/>
          <w:sz w:val="20"/>
          <w:u w:val="single" w:color="0563C1"/>
          <w:vertAlign w:val="baseline"/>
        </w:rPr>
        <w:t>https://</w:t>
      </w:r>
      <w:hyperlink r:id="rId6">
        <w:r>
          <w:rPr>
            <w:color w:val="0563C1"/>
            <w:sz w:val="20"/>
            <w:u w:val="single" w:color="0563C1"/>
            <w:vertAlign w:val="baseline"/>
          </w:rPr>
          <w:t>www.acenet.edu/Documents/Higher-Education-Regulations-Task-Force-Report.pdf</w:t>
        </w:r>
      </w:hyperlink>
    </w:p>
    <w:p>
      <w:pPr>
        <w:spacing w:after="0"/>
        <w:jc w:val="left"/>
        <w:rPr>
          <w:sz w:val="20"/>
        </w:rPr>
        <w:sectPr>
          <w:type w:val="continuous"/>
          <w:pgSz w:w="12240" w:h="15840"/>
          <w:pgMar w:top="1440" w:bottom="280" w:left="980" w:right="980"/>
        </w:sectPr>
      </w:pPr>
    </w:p>
    <w:p>
      <w:pPr>
        <w:pStyle w:val="ListParagraph"/>
        <w:numPr>
          <w:ilvl w:val="0"/>
          <w:numId w:val="1"/>
        </w:numPr>
        <w:tabs>
          <w:tab w:pos="819" w:val="left" w:leader="none"/>
        </w:tabs>
        <w:spacing w:line="293" w:lineRule="exact" w:before="78" w:after="0"/>
        <w:ind w:left="819" w:right="0" w:hanging="359"/>
        <w:jc w:val="left"/>
        <w:rPr>
          <w:sz w:val="24"/>
        </w:rPr>
      </w:pPr>
      <w:r>
        <w:rPr>
          <w:sz w:val="24"/>
        </w:rPr>
        <w:t>Clear</w:t>
      </w:r>
      <w:r>
        <w:rPr>
          <w:spacing w:val="-1"/>
          <w:sz w:val="24"/>
        </w:rPr>
        <w:t> </w:t>
      </w:r>
      <w:r>
        <w:rPr>
          <w:sz w:val="24"/>
        </w:rPr>
        <w:t>safe harbors should be </w:t>
      </w:r>
      <w:r>
        <w:rPr>
          <w:spacing w:val="-2"/>
          <w:sz w:val="24"/>
        </w:rPr>
        <w:t>created.</w:t>
      </w:r>
    </w:p>
    <w:p>
      <w:pPr>
        <w:pStyle w:val="ListParagraph"/>
        <w:numPr>
          <w:ilvl w:val="0"/>
          <w:numId w:val="1"/>
        </w:numPr>
        <w:tabs>
          <w:tab w:pos="819" w:val="left" w:leader="none"/>
        </w:tabs>
        <w:spacing w:line="293" w:lineRule="exact" w:before="0" w:after="0"/>
        <w:ind w:left="819" w:right="0" w:hanging="359"/>
        <w:jc w:val="left"/>
        <w:rPr>
          <w:sz w:val="24"/>
        </w:rPr>
      </w:pPr>
      <w:r>
        <w:rPr>
          <w:sz w:val="24"/>
        </w:rPr>
        <w:t>The</w:t>
      </w:r>
      <w:r>
        <w:rPr>
          <w:spacing w:val="-1"/>
          <w:sz w:val="24"/>
        </w:rPr>
        <w:t> </w:t>
      </w:r>
      <w:r>
        <w:rPr>
          <w:sz w:val="24"/>
        </w:rPr>
        <w:t>Department</w:t>
      </w:r>
      <w:r>
        <w:rPr>
          <w:spacing w:val="-1"/>
          <w:sz w:val="24"/>
        </w:rPr>
        <w:t> </w:t>
      </w:r>
      <w:r>
        <w:rPr>
          <w:sz w:val="24"/>
        </w:rPr>
        <w:t>should recognize</w:t>
      </w:r>
      <w:r>
        <w:rPr>
          <w:spacing w:val="-1"/>
          <w:sz w:val="24"/>
        </w:rPr>
        <w:t> </w:t>
      </w:r>
      <w:r>
        <w:rPr>
          <w:sz w:val="24"/>
        </w:rPr>
        <w:t>good</w:t>
      </w:r>
      <w:r>
        <w:rPr>
          <w:spacing w:val="-1"/>
          <w:sz w:val="24"/>
        </w:rPr>
        <w:t> </w:t>
      </w:r>
      <w:r>
        <w:rPr>
          <w:sz w:val="24"/>
        </w:rPr>
        <w:t>faith</w:t>
      </w:r>
      <w:r>
        <w:rPr>
          <w:spacing w:val="-1"/>
          <w:sz w:val="24"/>
        </w:rPr>
        <w:t> </w:t>
      </w:r>
      <w:r>
        <w:rPr>
          <w:sz w:val="24"/>
        </w:rPr>
        <w:t>efforts</w:t>
      </w:r>
      <w:r>
        <w:rPr>
          <w:spacing w:val="-1"/>
          <w:sz w:val="24"/>
        </w:rPr>
        <w:t> </w:t>
      </w:r>
      <w:r>
        <w:rPr>
          <w:sz w:val="24"/>
        </w:rPr>
        <w:t>by </w:t>
      </w:r>
      <w:r>
        <w:rPr>
          <w:spacing w:val="-2"/>
          <w:sz w:val="24"/>
        </w:rPr>
        <w:t>institutions.</w:t>
      </w:r>
    </w:p>
    <w:p>
      <w:pPr>
        <w:pStyle w:val="ListParagraph"/>
        <w:numPr>
          <w:ilvl w:val="0"/>
          <w:numId w:val="1"/>
        </w:numPr>
        <w:tabs>
          <w:tab w:pos="820" w:val="left" w:leader="none"/>
        </w:tabs>
        <w:spacing w:line="244" w:lineRule="auto" w:before="0" w:after="0"/>
        <w:ind w:left="820" w:right="905" w:hanging="360"/>
        <w:jc w:val="left"/>
        <w:rPr>
          <w:sz w:val="24"/>
        </w:rPr>
      </w:pPr>
      <w:r>
        <w:rPr>
          <w:sz w:val="24"/>
        </w:rPr>
        <w:t>The</w:t>
      </w:r>
      <w:r>
        <w:rPr>
          <w:spacing w:val="-4"/>
          <w:sz w:val="24"/>
        </w:rPr>
        <w:t> </w:t>
      </w:r>
      <w:r>
        <w:rPr>
          <w:sz w:val="24"/>
        </w:rPr>
        <w:t>Department</w:t>
      </w:r>
      <w:r>
        <w:rPr>
          <w:spacing w:val="-4"/>
          <w:sz w:val="24"/>
        </w:rPr>
        <w:t> </w:t>
      </w:r>
      <w:r>
        <w:rPr>
          <w:sz w:val="24"/>
        </w:rPr>
        <w:t>should</w:t>
      </w:r>
      <w:r>
        <w:rPr>
          <w:spacing w:val="-4"/>
          <w:sz w:val="24"/>
        </w:rPr>
        <w:t> </w:t>
      </w:r>
      <w:r>
        <w:rPr>
          <w:sz w:val="24"/>
        </w:rPr>
        <w:t>complete</w:t>
      </w:r>
      <w:r>
        <w:rPr>
          <w:spacing w:val="-4"/>
          <w:sz w:val="24"/>
        </w:rPr>
        <w:t> </w:t>
      </w:r>
      <w:r>
        <w:rPr>
          <w:sz w:val="24"/>
        </w:rPr>
        <w:t>program</w:t>
      </w:r>
      <w:r>
        <w:rPr>
          <w:spacing w:val="-4"/>
          <w:sz w:val="24"/>
        </w:rPr>
        <w:t> </w:t>
      </w:r>
      <w:r>
        <w:rPr>
          <w:sz w:val="24"/>
        </w:rPr>
        <w:t>reviews</w:t>
      </w:r>
      <w:r>
        <w:rPr>
          <w:spacing w:val="-4"/>
          <w:sz w:val="24"/>
        </w:rPr>
        <w:t> </w:t>
      </w:r>
      <w:r>
        <w:rPr>
          <w:sz w:val="24"/>
        </w:rPr>
        <w:t>and</w:t>
      </w:r>
      <w:r>
        <w:rPr>
          <w:spacing w:val="-4"/>
          <w:sz w:val="24"/>
        </w:rPr>
        <w:t> </w:t>
      </w:r>
      <w:r>
        <w:rPr>
          <w:sz w:val="24"/>
        </w:rPr>
        <w:t>investigations</w:t>
      </w:r>
      <w:r>
        <w:rPr>
          <w:spacing w:val="-4"/>
          <w:sz w:val="24"/>
        </w:rPr>
        <w:t> </w:t>
      </w:r>
      <w:r>
        <w:rPr>
          <w:sz w:val="24"/>
        </w:rPr>
        <w:t>in</w:t>
      </w:r>
      <w:r>
        <w:rPr>
          <w:spacing w:val="-4"/>
          <w:sz w:val="24"/>
        </w:rPr>
        <w:t> </w:t>
      </w:r>
      <w:r>
        <w:rPr>
          <w:sz w:val="24"/>
        </w:rPr>
        <w:t>a</w:t>
      </w:r>
      <w:r>
        <w:rPr>
          <w:spacing w:val="-4"/>
          <w:sz w:val="24"/>
        </w:rPr>
        <w:t> </w:t>
      </w:r>
      <w:r>
        <w:rPr>
          <w:sz w:val="24"/>
        </w:rPr>
        <w:t>timely </w:t>
      </w:r>
      <w:r>
        <w:rPr>
          <w:spacing w:val="-2"/>
          <w:sz w:val="24"/>
        </w:rPr>
        <w:t>manner.</w:t>
      </w:r>
    </w:p>
    <w:p>
      <w:pPr>
        <w:pStyle w:val="ListParagraph"/>
        <w:numPr>
          <w:ilvl w:val="0"/>
          <w:numId w:val="1"/>
        </w:numPr>
        <w:tabs>
          <w:tab w:pos="819" w:val="left" w:leader="none"/>
        </w:tabs>
        <w:spacing w:line="287" w:lineRule="exact" w:before="0" w:after="0"/>
        <w:ind w:left="819" w:right="0" w:hanging="359"/>
        <w:jc w:val="left"/>
        <w:rPr>
          <w:sz w:val="24"/>
        </w:rPr>
      </w:pPr>
      <w:r>
        <w:rPr>
          <w:sz w:val="24"/>
        </w:rPr>
        <w:t>Penalties</w:t>
      </w:r>
      <w:r>
        <w:rPr>
          <w:spacing w:val="-1"/>
          <w:sz w:val="24"/>
        </w:rPr>
        <w:t> </w:t>
      </w:r>
      <w:r>
        <w:rPr>
          <w:sz w:val="24"/>
        </w:rPr>
        <w:t>should be imposed</w:t>
      </w:r>
      <w:r>
        <w:rPr>
          <w:spacing w:val="-1"/>
          <w:sz w:val="24"/>
        </w:rPr>
        <w:t> </w:t>
      </w:r>
      <w:r>
        <w:rPr>
          <w:sz w:val="24"/>
        </w:rPr>
        <w:t>at a level</w:t>
      </w:r>
      <w:r>
        <w:rPr>
          <w:spacing w:val="-2"/>
          <w:sz w:val="24"/>
        </w:rPr>
        <w:t> </w:t>
      </w:r>
      <w:r>
        <w:rPr>
          <w:sz w:val="24"/>
        </w:rPr>
        <w:t>appropriate to the </w:t>
      </w:r>
      <w:r>
        <w:rPr>
          <w:spacing w:val="-2"/>
          <w:sz w:val="24"/>
        </w:rPr>
        <w:t>violation.</w:t>
      </w:r>
    </w:p>
    <w:p>
      <w:pPr>
        <w:pStyle w:val="ListParagraph"/>
        <w:numPr>
          <w:ilvl w:val="0"/>
          <w:numId w:val="1"/>
        </w:numPr>
        <w:tabs>
          <w:tab w:pos="819" w:val="left" w:leader="none"/>
        </w:tabs>
        <w:spacing w:line="293" w:lineRule="exact" w:before="0" w:after="0"/>
        <w:ind w:left="819" w:right="0" w:hanging="359"/>
        <w:jc w:val="left"/>
        <w:rPr>
          <w:sz w:val="24"/>
        </w:rPr>
      </w:pPr>
      <w:r>
        <w:rPr>
          <w:sz w:val="24"/>
        </w:rPr>
        <w:t>Disclosure</w:t>
      </w:r>
      <w:r>
        <w:rPr>
          <w:spacing w:val="-1"/>
          <w:sz w:val="24"/>
        </w:rPr>
        <w:t> </w:t>
      </w:r>
      <w:r>
        <w:rPr>
          <w:sz w:val="24"/>
        </w:rPr>
        <w:t>requirements</w:t>
      </w:r>
      <w:r>
        <w:rPr>
          <w:spacing w:val="-1"/>
          <w:sz w:val="24"/>
        </w:rPr>
        <w:t> </w:t>
      </w:r>
      <w:r>
        <w:rPr>
          <w:sz w:val="24"/>
        </w:rPr>
        <w:t>should focus</w:t>
      </w:r>
      <w:r>
        <w:rPr>
          <w:spacing w:val="-1"/>
          <w:sz w:val="24"/>
        </w:rPr>
        <w:t> </w:t>
      </w:r>
      <w:r>
        <w:rPr>
          <w:sz w:val="24"/>
        </w:rPr>
        <w:t>on</w:t>
      </w:r>
      <w:r>
        <w:rPr>
          <w:spacing w:val="-1"/>
          <w:sz w:val="24"/>
        </w:rPr>
        <w:t> </w:t>
      </w:r>
      <w:r>
        <w:rPr>
          <w:sz w:val="24"/>
        </w:rPr>
        <w:t>issues of</w:t>
      </w:r>
      <w:r>
        <w:rPr>
          <w:spacing w:val="-1"/>
          <w:sz w:val="24"/>
        </w:rPr>
        <w:t> </w:t>
      </w:r>
      <w:r>
        <w:rPr>
          <w:sz w:val="24"/>
        </w:rPr>
        <w:t>widespread </w:t>
      </w:r>
      <w:r>
        <w:rPr>
          <w:spacing w:val="-2"/>
          <w:sz w:val="24"/>
        </w:rPr>
        <w:t>interest.</w:t>
      </w:r>
    </w:p>
    <w:p>
      <w:pPr>
        <w:pStyle w:val="ListParagraph"/>
        <w:numPr>
          <w:ilvl w:val="0"/>
          <w:numId w:val="1"/>
        </w:numPr>
        <w:tabs>
          <w:tab w:pos="820" w:val="left" w:leader="none"/>
        </w:tabs>
        <w:spacing w:line="240" w:lineRule="auto" w:before="0" w:after="0"/>
        <w:ind w:left="820" w:right="227" w:hanging="360"/>
        <w:jc w:val="left"/>
        <w:rPr>
          <w:sz w:val="24"/>
        </w:rPr>
      </w:pPr>
      <w:r>
        <w:rPr>
          <w:sz w:val="24"/>
        </w:rPr>
        <w:t>All</w:t>
      </w:r>
      <w:r>
        <w:rPr>
          <w:spacing w:val="-5"/>
          <w:sz w:val="24"/>
        </w:rPr>
        <w:t> </w:t>
      </w:r>
      <w:r>
        <w:rPr>
          <w:sz w:val="24"/>
        </w:rPr>
        <w:t>substantive</w:t>
      </w:r>
      <w:r>
        <w:rPr>
          <w:spacing w:val="-4"/>
          <w:sz w:val="24"/>
        </w:rPr>
        <w:t> </w:t>
      </w:r>
      <w:r>
        <w:rPr>
          <w:sz w:val="24"/>
        </w:rPr>
        <w:t>policies</w:t>
      </w:r>
      <w:r>
        <w:rPr>
          <w:spacing w:val="-4"/>
          <w:sz w:val="24"/>
        </w:rPr>
        <w:t> </w:t>
      </w:r>
      <w:r>
        <w:rPr>
          <w:sz w:val="24"/>
        </w:rPr>
        <w:t>should</w:t>
      </w:r>
      <w:r>
        <w:rPr>
          <w:spacing w:val="-4"/>
          <w:sz w:val="24"/>
        </w:rPr>
        <w:t> </w:t>
      </w:r>
      <w:r>
        <w:rPr>
          <w:sz w:val="24"/>
        </w:rPr>
        <w:t>be</w:t>
      </w:r>
      <w:r>
        <w:rPr>
          <w:spacing w:val="-4"/>
          <w:sz w:val="24"/>
        </w:rPr>
        <w:t> </w:t>
      </w:r>
      <w:r>
        <w:rPr>
          <w:sz w:val="24"/>
        </w:rPr>
        <w:t>subject</w:t>
      </w:r>
      <w:r>
        <w:rPr>
          <w:spacing w:val="-4"/>
          <w:sz w:val="24"/>
        </w:rPr>
        <w:t> </w:t>
      </w:r>
      <w:r>
        <w:rPr>
          <w:sz w:val="24"/>
        </w:rPr>
        <w:t>to</w:t>
      </w:r>
      <w:r>
        <w:rPr>
          <w:spacing w:val="-4"/>
          <w:sz w:val="24"/>
        </w:rPr>
        <w:t> </w:t>
      </w:r>
      <w:r>
        <w:rPr>
          <w:sz w:val="24"/>
        </w:rPr>
        <w:t>the</w:t>
      </w:r>
      <w:r>
        <w:rPr>
          <w:spacing w:val="-4"/>
          <w:sz w:val="24"/>
        </w:rPr>
        <w:t> </w:t>
      </w:r>
      <w:r>
        <w:rPr>
          <w:sz w:val="24"/>
        </w:rPr>
        <w:t>“notice-and-comment”</w:t>
      </w:r>
      <w:r>
        <w:rPr>
          <w:spacing w:val="-4"/>
          <w:sz w:val="24"/>
        </w:rPr>
        <w:t> </w:t>
      </w:r>
      <w:r>
        <w:rPr>
          <w:sz w:val="24"/>
        </w:rPr>
        <w:t>requirements</w:t>
      </w:r>
      <w:r>
        <w:rPr>
          <w:spacing w:val="-4"/>
          <w:sz w:val="24"/>
        </w:rPr>
        <w:t> </w:t>
      </w:r>
      <w:r>
        <w:rPr>
          <w:sz w:val="24"/>
        </w:rPr>
        <w:t>of the Administrative Procedure Act.</w:t>
      </w:r>
    </w:p>
    <w:p>
      <w:pPr>
        <w:pStyle w:val="ListParagraph"/>
        <w:numPr>
          <w:ilvl w:val="0"/>
          <w:numId w:val="1"/>
        </w:numPr>
        <w:tabs>
          <w:tab w:pos="819" w:val="left" w:leader="none"/>
        </w:tabs>
        <w:spacing w:line="293" w:lineRule="exact" w:before="0" w:after="0"/>
        <w:ind w:left="819" w:right="0" w:hanging="359"/>
        <w:jc w:val="left"/>
        <w:rPr>
          <w:sz w:val="24"/>
        </w:rPr>
      </w:pPr>
      <w:r>
        <w:rPr>
          <w:sz w:val="24"/>
        </w:rPr>
        <w:t>Regulations</w:t>
      </w:r>
      <w:r>
        <w:rPr>
          <w:spacing w:val="-1"/>
          <w:sz w:val="24"/>
        </w:rPr>
        <w:t> </w:t>
      </w:r>
      <w:r>
        <w:rPr>
          <w:sz w:val="24"/>
        </w:rPr>
        <w:t>that consistently</w:t>
      </w:r>
      <w:r>
        <w:rPr>
          <w:spacing w:val="-1"/>
          <w:sz w:val="24"/>
        </w:rPr>
        <w:t> </w:t>
      </w:r>
      <w:r>
        <w:rPr>
          <w:sz w:val="24"/>
        </w:rPr>
        <w:t>create compliance challenges</w:t>
      </w:r>
      <w:r>
        <w:rPr>
          <w:spacing w:val="-1"/>
          <w:sz w:val="24"/>
        </w:rPr>
        <w:t> </w:t>
      </w:r>
      <w:r>
        <w:rPr>
          <w:sz w:val="24"/>
        </w:rPr>
        <w:t>should be </w:t>
      </w:r>
      <w:r>
        <w:rPr>
          <w:spacing w:val="-2"/>
          <w:sz w:val="24"/>
        </w:rPr>
        <w:t>revised.</w:t>
      </w:r>
    </w:p>
    <w:p>
      <w:pPr>
        <w:pStyle w:val="ListParagraph"/>
        <w:numPr>
          <w:ilvl w:val="0"/>
          <w:numId w:val="1"/>
        </w:numPr>
        <w:tabs>
          <w:tab w:pos="819" w:val="left" w:leader="none"/>
        </w:tabs>
        <w:spacing w:line="293" w:lineRule="exact" w:before="0" w:after="0"/>
        <w:ind w:left="819" w:right="0" w:hanging="359"/>
        <w:jc w:val="left"/>
        <w:rPr>
          <w:sz w:val="24"/>
        </w:rPr>
      </w:pPr>
      <w:r>
        <w:rPr>
          <w:sz w:val="24"/>
        </w:rPr>
        <w:t>The</w:t>
      </w:r>
      <w:r>
        <w:rPr>
          <w:spacing w:val="-1"/>
          <w:sz w:val="24"/>
        </w:rPr>
        <w:t> </w:t>
      </w:r>
      <w:r>
        <w:rPr>
          <w:sz w:val="24"/>
        </w:rPr>
        <w:t>Department</w:t>
      </w:r>
      <w:r>
        <w:rPr>
          <w:spacing w:val="-1"/>
          <w:sz w:val="24"/>
        </w:rPr>
        <w:t> </w:t>
      </w:r>
      <w:r>
        <w:rPr>
          <w:sz w:val="24"/>
        </w:rPr>
        <w:t>should take</w:t>
      </w:r>
      <w:r>
        <w:rPr>
          <w:spacing w:val="-1"/>
          <w:sz w:val="24"/>
        </w:rPr>
        <w:t> </w:t>
      </w:r>
      <w:r>
        <w:rPr>
          <w:sz w:val="24"/>
        </w:rPr>
        <w:t>all</w:t>
      </w:r>
      <w:r>
        <w:rPr>
          <w:spacing w:val="-1"/>
          <w:sz w:val="24"/>
        </w:rPr>
        <w:t> </w:t>
      </w:r>
      <w:r>
        <w:rPr>
          <w:sz w:val="24"/>
        </w:rPr>
        <w:t>necessary</w:t>
      </w:r>
      <w:r>
        <w:rPr>
          <w:spacing w:val="-1"/>
          <w:sz w:val="24"/>
        </w:rPr>
        <w:t> </w:t>
      </w:r>
      <w:r>
        <w:rPr>
          <w:sz w:val="24"/>
        </w:rPr>
        <w:t>steps to</w:t>
      </w:r>
      <w:r>
        <w:rPr>
          <w:spacing w:val="-1"/>
          <w:sz w:val="24"/>
        </w:rPr>
        <w:t> </w:t>
      </w:r>
      <w:r>
        <w:rPr>
          <w:sz w:val="24"/>
        </w:rPr>
        <w:t>facilitate compliance</w:t>
      </w:r>
      <w:r>
        <w:rPr>
          <w:spacing w:val="-1"/>
          <w:sz w:val="24"/>
        </w:rPr>
        <w:t> </w:t>
      </w:r>
      <w:r>
        <w:rPr>
          <w:sz w:val="24"/>
        </w:rPr>
        <w:t>by </w:t>
      </w:r>
      <w:r>
        <w:rPr>
          <w:spacing w:val="-2"/>
          <w:sz w:val="24"/>
        </w:rPr>
        <w:t>institutions.</w:t>
      </w:r>
    </w:p>
    <w:p>
      <w:pPr>
        <w:pStyle w:val="BodyText"/>
        <w:spacing w:before="1"/>
        <w:ind w:left="0"/>
      </w:pPr>
    </w:p>
    <w:p>
      <w:pPr>
        <w:pStyle w:val="BodyText"/>
        <w:rPr>
          <w:sz w:val="16"/>
        </w:rPr>
      </w:pPr>
      <w:r>
        <w:rPr/>
        <w:t>In</w:t>
      </w:r>
      <w:r>
        <w:rPr>
          <w:spacing w:val="-4"/>
        </w:rPr>
        <w:t> </w:t>
      </w:r>
      <w:r>
        <w:rPr/>
        <w:t>considering</w:t>
      </w:r>
      <w:r>
        <w:rPr>
          <w:spacing w:val="-4"/>
        </w:rPr>
        <w:t> </w:t>
      </w:r>
      <w:r>
        <w:rPr/>
        <w:t>these</w:t>
      </w:r>
      <w:r>
        <w:rPr>
          <w:spacing w:val="-4"/>
        </w:rPr>
        <w:t> </w:t>
      </w:r>
      <w:r>
        <w:rPr/>
        <w:t>principles,</w:t>
      </w:r>
      <w:r>
        <w:rPr>
          <w:spacing w:val="-4"/>
        </w:rPr>
        <w:t> </w:t>
      </w:r>
      <w:r>
        <w:rPr/>
        <w:t>we</w:t>
      </w:r>
      <w:r>
        <w:rPr>
          <w:spacing w:val="-4"/>
        </w:rPr>
        <w:t> </w:t>
      </w:r>
      <w:r>
        <w:rPr/>
        <w:t>have</w:t>
      </w:r>
      <w:r>
        <w:rPr>
          <w:spacing w:val="-4"/>
        </w:rPr>
        <w:t> </w:t>
      </w:r>
      <w:r>
        <w:rPr/>
        <w:t>identified</w:t>
      </w:r>
      <w:r>
        <w:rPr>
          <w:spacing w:val="-4"/>
        </w:rPr>
        <w:t> </w:t>
      </w:r>
      <w:r>
        <w:rPr/>
        <w:t>several</w:t>
      </w:r>
      <w:r>
        <w:rPr>
          <w:spacing w:val="-4"/>
        </w:rPr>
        <w:t> </w:t>
      </w:r>
      <w:r>
        <w:rPr/>
        <w:t>examples</w:t>
      </w:r>
      <w:r>
        <w:rPr>
          <w:spacing w:val="-4"/>
        </w:rPr>
        <w:t> </w:t>
      </w:r>
      <w:r>
        <w:rPr/>
        <w:t>of</w:t>
      </w:r>
      <w:r>
        <w:rPr>
          <w:spacing w:val="-4"/>
        </w:rPr>
        <w:t> </w:t>
      </w:r>
      <w:r>
        <w:rPr/>
        <w:t>regulatory</w:t>
      </w:r>
      <w:r>
        <w:rPr>
          <w:spacing w:val="-4"/>
        </w:rPr>
        <w:t> </w:t>
      </w:r>
      <w:r>
        <w:rPr/>
        <w:t>issues</w:t>
      </w:r>
      <w:r>
        <w:rPr>
          <w:spacing w:val="-4"/>
        </w:rPr>
        <w:t> </w:t>
      </w:r>
      <w:r>
        <w:rPr/>
        <w:t>either currently in effect or set to take effect in the near future that do not meet these goals. Many of these are included in our recent letter to the Department regarding negotiated rulemaking, which we encourage you to consider in this process as well.</w:t>
      </w:r>
      <w:r>
        <w:rPr>
          <w:position w:val="6"/>
          <w:sz w:val="16"/>
        </w:rPr>
        <w:t>2</w:t>
      </w:r>
    </w:p>
    <w:p>
      <w:pPr>
        <w:pStyle w:val="BodyText"/>
        <w:spacing w:before="272"/>
      </w:pPr>
      <w:r>
        <w:rPr/>
        <w:t>In</w:t>
      </w:r>
      <w:r>
        <w:rPr>
          <w:spacing w:val="-3"/>
        </w:rPr>
        <w:t> </w:t>
      </w:r>
      <w:r>
        <w:rPr/>
        <w:t>addition,</w:t>
      </w:r>
      <w:r>
        <w:rPr>
          <w:spacing w:val="-4"/>
        </w:rPr>
        <w:t> </w:t>
      </w:r>
      <w:r>
        <w:rPr/>
        <w:t>we</w:t>
      </w:r>
      <w:r>
        <w:rPr>
          <w:spacing w:val="-3"/>
        </w:rPr>
        <w:t> </w:t>
      </w:r>
      <w:r>
        <w:rPr/>
        <w:t>call</w:t>
      </w:r>
      <w:r>
        <w:rPr>
          <w:spacing w:val="-4"/>
        </w:rPr>
        <w:t> </w:t>
      </w:r>
      <w:r>
        <w:rPr/>
        <w:t>on</w:t>
      </w:r>
      <w:r>
        <w:rPr>
          <w:spacing w:val="-3"/>
        </w:rPr>
        <w:t> </w:t>
      </w:r>
      <w:r>
        <w:rPr/>
        <w:t>the</w:t>
      </w:r>
      <w:r>
        <w:rPr>
          <w:spacing w:val="-3"/>
        </w:rPr>
        <w:t> </w:t>
      </w:r>
      <w:r>
        <w:rPr/>
        <w:t>administration</w:t>
      </w:r>
      <w:r>
        <w:rPr>
          <w:spacing w:val="-3"/>
        </w:rPr>
        <w:t> </w:t>
      </w:r>
      <w:r>
        <w:rPr/>
        <w:t>to</w:t>
      </w:r>
      <w:r>
        <w:rPr>
          <w:spacing w:val="-3"/>
        </w:rPr>
        <w:t> </w:t>
      </w:r>
      <w:r>
        <w:rPr/>
        <w:t>delay</w:t>
      </w:r>
      <w:r>
        <w:rPr>
          <w:spacing w:val="-3"/>
        </w:rPr>
        <w:t> </w:t>
      </w:r>
      <w:r>
        <w:rPr/>
        <w:t>or</w:t>
      </w:r>
      <w:r>
        <w:rPr>
          <w:spacing w:val="-3"/>
        </w:rPr>
        <w:t> </w:t>
      </w:r>
      <w:r>
        <w:rPr/>
        <w:t>provide</w:t>
      </w:r>
      <w:r>
        <w:rPr>
          <w:spacing w:val="-3"/>
        </w:rPr>
        <w:t> </w:t>
      </w:r>
      <w:r>
        <w:rPr/>
        <w:t>additional</w:t>
      </w:r>
      <w:r>
        <w:rPr>
          <w:spacing w:val="-4"/>
        </w:rPr>
        <w:t> </w:t>
      </w:r>
      <w:r>
        <w:rPr/>
        <w:t>information</w:t>
      </w:r>
      <w:r>
        <w:rPr>
          <w:spacing w:val="-3"/>
        </w:rPr>
        <w:t> </w:t>
      </w:r>
      <w:r>
        <w:rPr/>
        <w:t>regarding regulations that were established by the previous administration but have not been fully implemented. These include:</w:t>
      </w:r>
    </w:p>
    <w:p>
      <w:pPr>
        <w:pStyle w:val="BodyText"/>
        <w:spacing w:before="2"/>
        <w:ind w:left="0"/>
      </w:pPr>
    </w:p>
    <w:p>
      <w:pPr>
        <w:pStyle w:val="ListParagraph"/>
        <w:numPr>
          <w:ilvl w:val="0"/>
          <w:numId w:val="1"/>
        </w:numPr>
        <w:tabs>
          <w:tab w:pos="820" w:val="left" w:leader="none"/>
        </w:tabs>
        <w:spacing w:line="240" w:lineRule="auto" w:before="0" w:after="0"/>
        <w:ind w:left="820" w:right="103" w:hanging="360"/>
        <w:jc w:val="left"/>
        <w:rPr>
          <w:sz w:val="16"/>
        </w:rPr>
      </w:pPr>
      <w:r>
        <w:rPr>
          <w:sz w:val="24"/>
        </w:rPr>
        <w:t>April 24, 2024 Department of Justice final rule on “Nondiscrimination on the Basis of Disability;</w:t>
      </w:r>
      <w:r>
        <w:rPr>
          <w:spacing w:val="-4"/>
          <w:sz w:val="24"/>
        </w:rPr>
        <w:t> </w:t>
      </w:r>
      <w:r>
        <w:rPr>
          <w:sz w:val="24"/>
        </w:rPr>
        <w:t>Accessibility</w:t>
      </w:r>
      <w:r>
        <w:rPr>
          <w:spacing w:val="-4"/>
          <w:sz w:val="24"/>
        </w:rPr>
        <w:t> </w:t>
      </w:r>
      <w:r>
        <w:rPr>
          <w:sz w:val="24"/>
        </w:rPr>
        <w:t>of</w:t>
      </w:r>
      <w:r>
        <w:rPr>
          <w:spacing w:val="-4"/>
          <w:sz w:val="24"/>
        </w:rPr>
        <w:t> </w:t>
      </w:r>
      <w:r>
        <w:rPr>
          <w:sz w:val="24"/>
        </w:rPr>
        <w:t>Web</w:t>
      </w:r>
      <w:r>
        <w:rPr>
          <w:spacing w:val="-4"/>
          <w:sz w:val="24"/>
        </w:rPr>
        <w:t> </w:t>
      </w:r>
      <w:r>
        <w:rPr>
          <w:sz w:val="24"/>
        </w:rPr>
        <w:t>Information</w:t>
      </w:r>
      <w:r>
        <w:rPr>
          <w:spacing w:val="-4"/>
          <w:sz w:val="24"/>
        </w:rPr>
        <w:t> </w:t>
      </w:r>
      <w:r>
        <w:rPr>
          <w:sz w:val="24"/>
        </w:rPr>
        <w:t>and</w:t>
      </w:r>
      <w:r>
        <w:rPr>
          <w:spacing w:val="-4"/>
          <w:sz w:val="24"/>
        </w:rPr>
        <w:t> </w:t>
      </w:r>
      <w:r>
        <w:rPr>
          <w:sz w:val="24"/>
        </w:rPr>
        <w:t>Services</w:t>
      </w:r>
      <w:r>
        <w:rPr>
          <w:spacing w:val="-4"/>
          <w:sz w:val="24"/>
        </w:rPr>
        <w:t> </w:t>
      </w:r>
      <w:r>
        <w:rPr>
          <w:sz w:val="24"/>
        </w:rPr>
        <w:t>of</w:t>
      </w:r>
      <w:r>
        <w:rPr>
          <w:spacing w:val="-4"/>
          <w:sz w:val="24"/>
        </w:rPr>
        <w:t> </w:t>
      </w:r>
      <w:r>
        <w:rPr>
          <w:sz w:val="24"/>
        </w:rPr>
        <w:t>State</w:t>
      </w:r>
      <w:r>
        <w:rPr>
          <w:spacing w:val="-4"/>
          <w:sz w:val="24"/>
        </w:rPr>
        <w:t> </w:t>
      </w:r>
      <w:r>
        <w:rPr>
          <w:sz w:val="24"/>
        </w:rPr>
        <w:t>and</w:t>
      </w:r>
      <w:r>
        <w:rPr>
          <w:spacing w:val="-4"/>
          <w:sz w:val="24"/>
        </w:rPr>
        <w:t> </w:t>
      </w:r>
      <w:r>
        <w:rPr>
          <w:sz w:val="24"/>
        </w:rPr>
        <w:t>Local</w:t>
      </w:r>
      <w:r>
        <w:rPr>
          <w:spacing w:val="-5"/>
          <w:sz w:val="24"/>
        </w:rPr>
        <w:t> </w:t>
      </w:r>
      <w:r>
        <w:rPr>
          <w:sz w:val="24"/>
        </w:rPr>
        <w:t>Government Agencies.” Under Title II of the American’s with Disabilities Act. This final rule is meant to go into effect for large institutions on April 26, 2026, and small public entities on April 26, 2027.</w:t>
      </w:r>
      <w:r>
        <w:rPr>
          <w:position w:val="6"/>
          <w:sz w:val="16"/>
        </w:rPr>
        <w:t>3</w:t>
      </w:r>
    </w:p>
    <w:p>
      <w:pPr>
        <w:pStyle w:val="ListParagraph"/>
        <w:numPr>
          <w:ilvl w:val="0"/>
          <w:numId w:val="1"/>
        </w:numPr>
        <w:tabs>
          <w:tab w:pos="820" w:val="left" w:leader="none"/>
        </w:tabs>
        <w:spacing w:line="240" w:lineRule="auto" w:before="0" w:after="0"/>
        <w:ind w:left="820" w:right="482" w:hanging="360"/>
        <w:jc w:val="both"/>
        <w:rPr>
          <w:sz w:val="16"/>
        </w:rPr>
      </w:pPr>
      <w:r>
        <w:rPr>
          <w:sz w:val="24"/>
        </w:rPr>
        <w:t>Oct. 10,</w:t>
      </w:r>
      <w:r>
        <w:rPr>
          <w:spacing w:val="-1"/>
          <w:sz w:val="24"/>
        </w:rPr>
        <w:t> </w:t>
      </w:r>
      <w:r>
        <w:rPr>
          <w:sz w:val="24"/>
        </w:rPr>
        <w:t>2023 Department of Education final</w:t>
      </w:r>
      <w:r>
        <w:rPr>
          <w:spacing w:val="-1"/>
          <w:sz w:val="24"/>
        </w:rPr>
        <w:t> </w:t>
      </w:r>
      <w:r>
        <w:rPr>
          <w:sz w:val="24"/>
        </w:rPr>
        <w:t>rules on “Financial</w:t>
      </w:r>
      <w:r>
        <w:rPr>
          <w:spacing w:val="-1"/>
          <w:sz w:val="24"/>
        </w:rPr>
        <w:t> </w:t>
      </w:r>
      <w:r>
        <w:rPr>
          <w:sz w:val="24"/>
        </w:rPr>
        <w:t>Value Transparency and</w:t>
      </w:r>
      <w:r>
        <w:rPr>
          <w:spacing w:val="-4"/>
          <w:sz w:val="24"/>
        </w:rPr>
        <w:t> </w:t>
      </w:r>
      <w:r>
        <w:rPr>
          <w:sz w:val="24"/>
        </w:rPr>
        <w:t>Gainful</w:t>
      </w:r>
      <w:r>
        <w:rPr>
          <w:spacing w:val="-5"/>
          <w:sz w:val="24"/>
        </w:rPr>
        <w:t> </w:t>
      </w:r>
      <w:r>
        <w:rPr>
          <w:sz w:val="24"/>
        </w:rPr>
        <w:t>Employment”.</w:t>
      </w:r>
      <w:r>
        <w:rPr>
          <w:position w:val="6"/>
          <w:sz w:val="16"/>
        </w:rPr>
        <w:t>4</w:t>
      </w:r>
      <w:r>
        <w:rPr>
          <w:spacing w:val="14"/>
          <w:position w:val="6"/>
          <w:sz w:val="16"/>
        </w:rPr>
        <w:t> </w:t>
      </w:r>
      <w:r>
        <w:rPr>
          <w:sz w:val="24"/>
        </w:rPr>
        <w:t>Extension</w:t>
      </w:r>
      <w:r>
        <w:rPr>
          <w:spacing w:val="-4"/>
          <w:sz w:val="24"/>
        </w:rPr>
        <w:t> </w:t>
      </w:r>
      <w:r>
        <w:rPr>
          <w:sz w:val="24"/>
        </w:rPr>
        <w:t>of</w:t>
      </w:r>
      <w:r>
        <w:rPr>
          <w:spacing w:val="-4"/>
          <w:sz w:val="24"/>
        </w:rPr>
        <w:t> </w:t>
      </w:r>
      <w:r>
        <w:rPr>
          <w:sz w:val="24"/>
        </w:rPr>
        <w:t>the</w:t>
      </w:r>
      <w:r>
        <w:rPr>
          <w:spacing w:val="-4"/>
          <w:sz w:val="24"/>
        </w:rPr>
        <w:t> </w:t>
      </w:r>
      <w:r>
        <w:rPr>
          <w:sz w:val="24"/>
        </w:rPr>
        <w:t>reporting</w:t>
      </w:r>
      <w:r>
        <w:rPr>
          <w:spacing w:val="-4"/>
          <w:sz w:val="24"/>
        </w:rPr>
        <w:t> </w:t>
      </w:r>
      <w:r>
        <w:rPr>
          <w:sz w:val="24"/>
        </w:rPr>
        <w:t>processes</w:t>
      </w:r>
      <w:r>
        <w:rPr>
          <w:spacing w:val="-4"/>
          <w:sz w:val="24"/>
        </w:rPr>
        <w:t> </w:t>
      </w:r>
      <w:r>
        <w:rPr>
          <w:sz w:val="24"/>
        </w:rPr>
        <w:t>and</w:t>
      </w:r>
      <w:r>
        <w:rPr>
          <w:spacing w:val="-4"/>
          <w:sz w:val="24"/>
        </w:rPr>
        <w:t> </w:t>
      </w:r>
      <w:r>
        <w:rPr>
          <w:sz w:val="24"/>
        </w:rPr>
        <w:t>completer’s</w:t>
      </w:r>
      <w:r>
        <w:rPr>
          <w:spacing w:val="-4"/>
          <w:sz w:val="24"/>
        </w:rPr>
        <w:t> </w:t>
      </w:r>
      <w:r>
        <w:rPr>
          <w:sz w:val="24"/>
        </w:rPr>
        <w:t>list was extended to Sept. 30, 2025.</w:t>
      </w:r>
      <w:r>
        <w:rPr>
          <w:position w:val="6"/>
          <w:sz w:val="16"/>
        </w:rPr>
        <w:t>5</w:t>
      </w:r>
    </w:p>
    <w:p>
      <w:pPr>
        <w:pStyle w:val="BodyText"/>
        <w:spacing w:before="1"/>
        <w:ind w:left="0"/>
      </w:pPr>
    </w:p>
    <w:p>
      <w:pPr>
        <w:pStyle w:val="BodyText"/>
        <w:ind w:right="131"/>
      </w:pPr>
      <w:r>
        <w:rPr/>
        <w:t>Our institutions are preparing to comply with these reporting and implementation deadlines, many of which will entail significant commitments of resources and staff time. Given the shifts in</w:t>
      </w:r>
      <w:r>
        <w:rPr>
          <w:spacing w:val="-3"/>
        </w:rPr>
        <w:t> </w:t>
      </w:r>
      <w:r>
        <w:rPr/>
        <w:t>administration</w:t>
      </w:r>
      <w:r>
        <w:rPr>
          <w:spacing w:val="-3"/>
        </w:rPr>
        <w:t> </w:t>
      </w:r>
      <w:r>
        <w:rPr/>
        <w:t>priorities,</w:t>
      </w:r>
      <w:r>
        <w:rPr>
          <w:spacing w:val="-4"/>
        </w:rPr>
        <w:t> </w:t>
      </w:r>
      <w:r>
        <w:rPr/>
        <w:t>as</w:t>
      </w:r>
      <w:r>
        <w:rPr>
          <w:spacing w:val="-3"/>
        </w:rPr>
        <w:t> </w:t>
      </w:r>
      <w:r>
        <w:rPr/>
        <w:t>well</w:t>
      </w:r>
      <w:r>
        <w:rPr>
          <w:spacing w:val="-4"/>
        </w:rPr>
        <w:t> </w:t>
      </w:r>
      <w:r>
        <w:rPr/>
        <w:t>as</w:t>
      </w:r>
      <w:r>
        <w:rPr>
          <w:spacing w:val="-3"/>
        </w:rPr>
        <w:t> </w:t>
      </w:r>
      <w:r>
        <w:rPr/>
        <w:t>the</w:t>
      </w:r>
      <w:r>
        <w:rPr>
          <w:spacing w:val="-3"/>
        </w:rPr>
        <w:t> </w:t>
      </w:r>
      <w:r>
        <w:rPr/>
        <w:t>changes</w:t>
      </w:r>
      <w:r>
        <w:rPr>
          <w:spacing w:val="-3"/>
        </w:rPr>
        <w:t> </w:t>
      </w:r>
      <w:r>
        <w:rPr/>
        <w:t>to</w:t>
      </w:r>
      <w:r>
        <w:rPr>
          <w:spacing w:val="-3"/>
        </w:rPr>
        <w:t> </w:t>
      </w:r>
      <w:r>
        <w:rPr/>
        <w:t>staffing</w:t>
      </w:r>
      <w:r>
        <w:rPr>
          <w:spacing w:val="-3"/>
        </w:rPr>
        <w:t> </w:t>
      </w:r>
      <w:r>
        <w:rPr/>
        <w:t>and</w:t>
      </w:r>
      <w:r>
        <w:rPr>
          <w:spacing w:val="-3"/>
        </w:rPr>
        <w:t> </w:t>
      </w:r>
      <w:r>
        <w:rPr/>
        <w:t>leadership,</w:t>
      </w:r>
      <w:r>
        <w:rPr>
          <w:spacing w:val="-3"/>
        </w:rPr>
        <w:t> </w:t>
      </w:r>
      <w:r>
        <w:rPr/>
        <w:t>that</w:t>
      </w:r>
      <w:r>
        <w:rPr>
          <w:spacing w:val="-3"/>
        </w:rPr>
        <w:t> </w:t>
      </w:r>
      <w:r>
        <w:rPr/>
        <w:t>accompany</w:t>
      </w:r>
      <w:r>
        <w:rPr>
          <w:spacing w:val="-3"/>
        </w:rPr>
        <w:t> </w:t>
      </w:r>
      <w:r>
        <w:rPr/>
        <w:t>a transition between administration, there is a lack of clarity as to what compliance may necessitate. We therefore ask OMB and federal agencies to review these regulations in light of the compliance challenges that covered entities still need to work through and to move quickly to clarify their status going forward.</w:t>
      </w:r>
    </w:p>
    <w:p>
      <w:pPr>
        <w:pStyle w:val="BodyText"/>
        <w:ind w:left="0"/>
        <w:rPr>
          <w:sz w:val="20"/>
        </w:rPr>
      </w:pPr>
    </w:p>
    <w:p>
      <w:pPr>
        <w:pStyle w:val="BodyText"/>
        <w:ind w:left="0"/>
        <w:rPr>
          <w:sz w:val="20"/>
        </w:rPr>
      </w:pPr>
    </w:p>
    <w:p>
      <w:pPr>
        <w:pStyle w:val="BodyText"/>
        <w:spacing w:before="197"/>
        <w:ind w:left="0"/>
        <w:rPr>
          <w:sz w:val="20"/>
        </w:rPr>
      </w:pPr>
      <w:r>
        <w:rPr/>
        <mc:AlternateContent>
          <mc:Choice Requires="wps">
            <w:drawing>
              <wp:anchor distT="0" distB="0" distL="0" distR="0" allowOverlap="1" layoutInCell="1" locked="0" behindDoc="1" simplePos="0" relativeHeight="487588352">
                <wp:simplePos x="0" y="0"/>
                <wp:positionH relativeFrom="page">
                  <wp:posOffset>685800</wp:posOffset>
                </wp:positionH>
                <wp:positionV relativeFrom="paragraph">
                  <wp:posOffset>285128</wp:posOffset>
                </wp:positionV>
                <wp:extent cx="1828800" cy="9525"/>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4pt;margin-top:22.451092pt;width:144pt;height:.72pt;mso-position-horizontal-relative:page;mso-position-vertical-relative:paragraph;z-index:-15728128;mso-wrap-distance-left:0;mso-wrap-distance-right:0" id="docshape2" filled="true" fillcolor="#000000" stroked="false">
                <v:fill type="solid"/>
                <w10:wrap type="topAndBottom"/>
              </v:rect>
            </w:pict>
          </mc:Fallback>
        </mc:AlternateContent>
      </w:r>
    </w:p>
    <w:p>
      <w:pPr>
        <w:spacing w:before="102"/>
        <w:ind w:left="100" w:right="0" w:firstLine="0"/>
        <w:jc w:val="left"/>
        <w:rPr>
          <w:sz w:val="20"/>
        </w:rPr>
      </w:pPr>
      <w:r>
        <w:rPr>
          <w:rFonts w:ascii="Times New Roman"/>
          <w:spacing w:val="-2"/>
          <w:position w:val="8"/>
          <w:sz w:val="16"/>
        </w:rPr>
        <w:t>2</w:t>
      </w:r>
      <w:r>
        <w:rPr>
          <w:rFonts w:ascii="Times New Roman"/>
          <w:spacing w:val="41"/>
          <w:position w:val="8"/>
          <w:sz w:val="16"/>
        </w:rPr>
        <w:t>  </w:t>
      </w:r>
      <w:r>
        <w:rPr>
          <w:color w:val="0563C1"/>
          <w:spacing w:val="-2"/>
          <w:sz w:val="20"/>
          <w:u w:val="single" w:color="0563C1"/>
        </w:rPr>
        <w:t>https://</w:t>
      </w:r>
      <w:hyperlink r:id="rId7">
        <w:r>
          <w:rPr>
            <w:color w:val="0563C1"/>
            <w:spacing w:val="-2"/>
            <w:sz w:val="20"/>
            <w:u w:val="single" w:color="0563C1"/>
          </w:rPr>
          <w:t>www.acenet.edu/Documents/Comments-ED-Rulemaking-Topics-050825.pdf</w:t>
        </w:r>
      </w:hyperlink>
    </w:p>
    <w:p>
      <w:pPr>
        <w:spacing w:before="10"/>
        <w:ind w:left="100" w:right="532" w:firstLine="0"/>
        <w:jc w:val="left"/>
        <w:rPr>
          <w:sz w:val="20"/>
        </w:rPr>
      </w:pPr>
      <w:r>
        <w:rPr>
          <w:rFonts w:ascii="Calibri"/>
          <w:sz w:val="20"/>
          <w:vertAlign w:val="superscript"/>
        </w:rPr>
        <w:t>3</w:t>
      </w:r>
      <w:r>
        <w:rPr>
          <w:rFonts w:ascii="Calibri"/>
          <w:spacing w:val="-12"/>
          <w:sz w:val="20"/>
          <w:vertAlign w:val="baseline"/>
        </w:rPr>
        <w:t> </w:t>
      </w:r>
      <w:r>
        <w:rPr>
          <w:color w:val="0563C1"/>
          <w:sz w:val="20"/>
          <w:u w:val="single" w:color="0563C1"/>
          <w:vertAlign w:val="baseline"/>
        </w:rPr>
        <w:t>https://</w:t>
      </w:r>
      <w:hyperlink r:id="rId8">
        <w:r>
          <w:rPr>
            <w:color w:val="0563C1"/>
            <w:sz w:val="20"/>
            <w:u w:val="single" w:color="0563C1"/>
            <w:vertAlign w:val="baseline"/>
          </w:rPr>
          <w:t>www.federalregister.gov/documents/2024/04/24/2024-07758/nondiscrimination-on-the-basis-of-</w:t>
        </w:r>
      </w:hyperlink>
      <w:r>
        <w:rPr>
          <w:color w:val="0563C1"/>
          <w:sz w:val="20"/>
          <w:u w:val="none"/>
          <w:vertAlign w:val="baseline"/>
        </w:rPr>
        <w:t> </w:t>
      </w:r>
      <w:r>
        <w:rPr>
          <w:color w:val="0563C1"/>
          <w:spacing w:val="-2"/>
          <w:sz w:val="20"/>
          <w:u w:val="single" w:color="0563C1"/>
          <w:vertAlign w:val="baseline"/>
        </w:rPr>
        <w:t>disability-accessibility-of-web-information-and-services-of-state</w:t>
      </w:r>
    </w:p>
    <w:p>
      <w:pPr>
        <w:spacing w:before="1"/>
        <w:ind w:left="100" w:right="666" w:firstLine="0"/>
        <w:jc w:val="left"/>
        <w:rPr>
          <w:sz w:val="20"/>
        </w:rPr>
      </w:pPr>
      <w:r>
        <w:rPr>
          <w:position w:val="5"/>
          <w:sz w:val="13"/>
        </w:rPr>
        <w:t>4</w:t>
      </w:r>
      <w:r>
        <w:rPr>
          <w:spacing w:val="-2"/>
          <w:position w:val="5"/>
          <w:sz w:val="13"/>
        </w:rPr>
        <w:t> </w:t>
      </w:r>
      <w:r>
        <w:rPr>
          <w:color w:val="0563C1"/>
          <w:sz w:val="20"/>
          <w:u w:val="single" w:color="0563C1"/>
        </w:rPr>
        <w:t>https://</w:t>
      </w:r>
      <w:hyperlink r:id="rId9">
        <w:r>
          <w:rPr>
            <w:color w:val="0563C1"/>
            <w:sz w:val="20"/>
            <w:u w:val="single" w:color="0563C1"/>
          </w:rPr>
          <w:t>www.federalregister.gov/documents/2023/10/10/2023-20385/financial-value-transparency-and-</w:t>
        </w:r>
      </w:hyperlink>
      <w:r>
        <w:rPr>
          <w:color w:val="0563C1"/>
          <w:sz w:val="20"/>
          <w:u w:val="none"/>
        </w:rPr>
        <w:t> </w:t>
      </w:r>
      <w:r>
        <w:rPr>
          <w:color w:val="0563C1"/>
          <w:spacing w:val="-2"/>
          <w:sz w:val="20"/>
          <w:u w:val="single" w:color="0563C1"/>
        </w:rPr>
        <w:t>gainful-employment</w:t>
      </w:r>
    </w:p>
    <w:p>
      <w:pPr>
        <w:spacing w:line="240" w:lineRule="auto" w:before="0"/>
        <w:ind w:left="100" w:right="141" w:firstLine="0"/>
        <w:jc w:val="left"/>
        <w:rPr>
          <w:sz w:val="20"/>
        </w:rPr>
      </w:pPr>
      <w:r>
        <w:rPr>
          <w:rFonts w:ascii="Calibri"/>
          <w:sz w:val="20"/>
          <w:vertAlign w:val="superscript"/>
        </w:rPr>
        <w:t>5</w:t>
      </w:r>
      <w:r>
        <w:rPr>
          <w:rFonts w:ascii="Calibri"/>
          <w:sz w:val="20"/>
          <w:vertAlign w:val="baseline"/>
        </w:rPr>
        <w:t> </w:t>
      </w:r>
      <w:r>
        <w:rPr>
          <w:color w:val="0563C1"/>
          <w:sz w:val="20"/>
          <w:u w:val="single" w:color="0563C1"/>
          <w:vertAlign w:val="baseline"/>
        </w:rPr>
        <w:t>https://fsapartners.ed.gov/knowledge-center/library/electronic-announcements/2025-02-14/extension-</w:t>
      </w:r>
      <w:r>
        <w:rPr>
          <w:color w:val="0563C1"/>
          <w:sz w:val="20"/>
          <w:u w:val="none"/>
          <w:vertAlign w:val="baseline"/>
        </w:rPr>
        <w:t> </w:t>
      </w:r>
      <w:r>
        <w:rPr>
          <w:color w:val="0563C1"/>
          <w:spacing w:val="-2"/>
          <w:sz w:val="20"/>
          <w:u w:val="single" w:color="0563C1"/>
          <w:vertAlign w:val="baseline"/>
        </w:rPr>
        <w:t>completers-list-and-reporting-processes-financial-value-transparency-and-gainful-employment-until-september-</w:t>
      </w:r>
      <w:r>
        <w:rPr>
          <w:color w:val="0563C1"/>
          <w:spacing w:val="-2"/>
          <w:sz w:val="20"/>
          <w:u w:val="none"/>
          <w:vertAlign w:val="baseline"/>
        </w:rPr>
        <w:t> </w:t>
      </w:r>
      <w:r>
        <w:rPr>
          <w:color w:val="0563C1"/>
          <w:spacing w:val="-2"/>
          <w:sz w:val="20"/>
          <w:u w:val="single" w:color="0563C1"/>
          <w:vertAlign w:val="baseline"/>
        </w:rPr>
        <w:t>30-2025</w:t>
      </w:r>
    </w:p>
    <w:p>
      <w:pPr>
        <w:spacing w:after="0" w:line="240" w:lineRule="auto"/>
        <w:jc w:val="left"/>
        <w:rPr>
          <w:sz w:val="20"/>
        </w:rPr>
        <w:sectPr>
          <w:pgSz w:w="12240" w:h="15840"/>
          <w:pgMar w:top="1360" w:bottom="280" w:left="980" w:right="980"/>
        </w:sectPr>
      </w:pPr>
    </w:p>
    <w:p>
      <w:pPr>
        <w:pStyle w:val="BodyText"/>
        <w:spacing w:before="80"/>
      </w:pPr>
      <w:r>
        <w:rPr/>
        <w:t>Regarding</w:t>
      </w:r>
      <w:r>
        <w:rPr>
          <w:spacing w:val="-4"/>
        </w:rPr>
        <w:t> </w:t>
      </w:r>
      <w:r>
        <w:rPr/>
        <w:t>regulations</w:t>
      </w:r>
      <w:r>
        <w:rPr>
          <w:spacing w:val="-4"/>
        </w:rPr>
        <w:t> </w:t>
      </w:r>
      <w:r>
        <w:rPr/>
        <w:t>governing</w:t>
      </w:r>
      <w:r>
        <w:rPr>
          <w:spacing w:val="-4"/>
        </w:rPr>
        <w:t> </w:t>
      </w:r>
      <w:r>
        <w:rPr/>
        <w:t>research</w:t>
      </w:r>
      <w:r>
        <w:rPr>
          <w:spacing w:val="-5"/>
        </w:rPr>
        <w:t> </w:t>
      </w:r>
      <w:r>
        <w:rPr/>
        <w:t>policy,</w:t>
      </w:r>
      <w:r>
        <w:rPr>
          <w:spacing w:val="-5"/>
        </w:rPr>
        <w:t> </w:t>
      </w:r>
      <w:r>
        <w:rPr/>
        <w:t>we</w:t>
      </w:r>
      <w:r>
        <w:rPr>
          <w:spacing w:val="-4"/>
        </w:rPr>
        <w:t> </w:t>
      </w:r>
      <w:r>
        <w:rPr/>
        <w:t>support</w:t>
      </w:r>
      <w:r>
        <w:rPr>
          <w:spacing w:val="-4"/>
        </w:rPr>
        <w:t> </w:t>
      </w:r>
      <w:r>
        <w:rPr/>
        <w:t>the</w:t>
      </w:r>
      <w:r>
        <w:rPr>
          <w:spacing w:val="-4"/>
        </w:rPr>
        <w:t> </w:t>
      </w:r>
      <w:r>
        <w:rPr/>
        <w:t>detailed</w:t>
      </w:r>
      <w:r>
        <w:rPr>
          <w:spacing w:val="-4"/>
        </w:rPr>
        <w:t> </w:t>
      </w:r>
      <w:r>
        <w:rPr/>
        <w:t>comments</w:t>
      </w:r>
      <w:r>
        <w:rPr>
          <w:spacing w:val="-4"/>
        </w:rPr>
        <w:t> </w:t>
      </w:r>
      <w:r>
        <w:rPr/>
        <w:t>submitted by the Council on Governmental Relations (COGR)</w:t>
      </w:r>
      <w:r>
        <w:rPr>
          <w:position w:val="6"/>
          <w:sz w:val="16"/>
        </w:rPr>
        <w:t>6</w:t>
      </w:r>
      <w:r>
        <w:rPr>
          <w:spacing w:val="28"/>
          <w:position w:val="6"/>
          <w:sz w:val="16"/>
        </w:rPr>
        <w:t> </w:t>
      </w:r>
      <w:r>
        <w:rPr/>
        <w:t>based on the actionable ideas to improve government efficiency affecting the performance of research.</w:t>
      </w:r>
      <w:r>
        <w:rPr>
          <w:position w:val="6"/>
          <w:sz w:val="16"/>
        </w:rPr>
        <w:t>7</w:t>
      </w:r>
      <w:r>
        <w:rPr>
          <w:spacing w:val="34"/>
          <w:position w:val="6"/>
          <w:sz w:val="16"/>
        </w:rPr>
        <w:t> </w:t>
      </w:r>
      <w:r>
        <w:rPr/>
        <w:t>These regulations have an enormous impact on institutions that engage in federally funded research.</w:t>
      </w:r>
    </w:p>
    <w:p>
      <w:pPr>
        <w:pStyle w:val="BodyText"/>
        <w:ind w:left="0"/>
      </w:pPr>
    </w:p>
    <w:p>
      <w:pPr>
        <w:pStyle w:val="BodyText"/>
        <w:ind w:right="131"/>
      </w:pPr>
      <w:r>
        <w:rPr/>
        <w:t>And finally, as the Trump administration makes policy changes, we ask that you follow the guiding principles laid out above, and work with the stakeholder community and our institutions in the implementation of any new regulations, while providing clarity and transparency</w:t>
      </w:r>
      <w:r>
        <w:rPr>
          <w:spacing w:val="-3"/>
        </w:rPr>
        <w:t> </w:t>
      </w:r>
      <w:r>
        <w:rPr/>
        <w:t>on</w:t>
      </w:r>
      <w:r>
        <w:rPr>
          <w:spacing w:val="-3"/>
        </w:rPr>
        <w:t> </w:t>
      </w:r>
      <w:r>
        <w:rPr/>
        <w:t>regulations</w:t>
      </w:r>
      <w:r>
        <w:rPr>
          <w:spacing w:val="-3"/>
        </w:rPr>
        <w:t> </w:t>
      </w:r>
      <w:r>
        <w:rPr/>
        <w:t>that</w:t>
      </w:r>
      <w:r>
        <w:rPr>
          <w:spacing w:val="-3"/>
        </w:rPr>
        <w:t> </w:t>
      </w:r>
      <w:r>
        <w:rPr/>
        <w:t>are</w:t>
      </w:r>
      <w:r>
        <w:rPr>
          <w:spacing w:val="-3"/>
        </w:rPr>
        <w:t> </w:t>
      </w:r>
      <w:r>
        <w:rPr/>
        <w:t>being</w:t>
      </w:r>
      <w:r>
        <w:rPr>
          <w:spacing w:val="-3"/>
        </w:rPr>
        <w:t> </w:t>
      </w:r>
      <w:r>
        <w:rPr/>
        <w:t>rescinded</w:t>
      </w:r>
      <w:r>
        <w:rPr>
          <w:spacing w:val="-3"/>
        </w:rPr>
        <w:t> </w:t>
      </w:r>
      <w:r>
        <w:rPr/>
        <w:t>or</w:t>
      </w:r>
      <w:r>
        <w:rPr>
          <w:spacing w:val="-3"/>
        </w:rPr>
        <w:t> </w:t>
      </w:r>
      <w:r>
        <w:rPr/>
        <w:t>amended.</w:t>
      </w:r>
      <w:r>
        <w:rPr>
          <w:spacing w:val="-4"/>
        </w:rPr>
        <w:t> </w:t>
      </w:r>
      <w:r>
        <w:rPr/>
        <w:t>It</w:t>
      </w:r>
      <w:r>
        <w:rPr>
          <w:spacing w:val="-3"/>
        </w:rPr>
        <w:t> </w:t>
      </w:r>
      <w:r>
        <w:rPr/>
        <w:t>is</w:t>
      </w:r>
      <w:r>
        <w:rPr>
          <w:spacing w:val="-3"/>
        </w:rPr>
        <w:t> </w:t>
      </w:r>
      <w:r>
        <w:rPr/>
        <w:t>very</w:t>
      </w:r>
      <w:r>
        <w:rPr>
          <w:spacing w:val="-3"/>
        </w:rPr>
        <w:t> </w:t>
      </w:r>
      <w:r>
        <w:rPr/>
        <w:t>difficult</w:t>
      </w:r>
      <w:r>
        <w:rPr>
          <w:spacing w:val="-3"/>
        </w:rPr>
        <w:t> </w:t>
      </w:r>
      <w:r>
        <w:rPr/>
        <w:t>to</w:t>
      </w:r>
      <w:r>
        <w:rPr>
          <w:spacing w:val="-3"/>
        </w:rPr>
        <w:t> </w:t>
      </w:r>
      <w:r>
        <w:rPr/>
        <w:t>comply with existing regulations unless there is a shared understanding of the requirements. Our institutions want to be in compliance and take their responsibilities seriously, but that is difficult when regulations suddenly change without prior notice and consultation.</w:t>
      </w:r>
    </w:p>
    <w:p>
      <w:pPr>
        <w:pStyle w:val="BodyText"/>
        <w:spacing w:before="24"/>
        <w:ind w:left="0"/>
      </w:pPr>
    </w:p>
    <w:p>
      <w:pPr>
        <w:pStyle w:val="BodyText"/>
        <w:spacing w:line="237" w:lineRule="auto"/>
      </w:pPr>
      <w:r>
        <w:rPr/>
        <w:t>Thank</w:t>
      </w:r>
      <w:r>
        <w:rPr>
          <w:spacing w:val="-4"/>
        </w:rPr>
        <w:t> </w:t>
      </w:r>
      <w:r>
        <w:rPr/>
        <w:t>you</w:t>
      </w:r>
      <w:r>
        <w:rPr>
          <w:spacing w:val="-3"/>
        </w:rPr>
        <w:t> </w:t>
      </w:r>
      <w:r>
        <w:rPr/>
        <w:t>for</w:t>
      </w:r>
      <w:r>
        <w:rPr>
          <w:spacing w:val="-3"/>
        </w:rPr>
        <w:t> </w:t>
      </w:r>
      <w:r>
        <w:rPr/>
        <w:t>your</w:t>
      </w:r>
      <w:r>
        <w:rPr>
          <w:spacing w:val="-3"/>
        </w:rPr>
        <w:t> </w:t>
      </w:r>
      <w:r>
        <w:rPr/>
        <w:t>consideration</w:t>
      </w:r>
      <w:r>
        <w:rPr>
          <w:spacing w:val="-3"/>
        </w:rPr>
        <w:t> </w:t>
      </w:r>
      <w:r>
        <w:rPr/>
        <w:t>and</w:t>
      </w:r>
      <w:r>
        <w:rPr>
          <w:spacing w:val="-3"/>
        </w:rPr>
        <w:t> </w:t>
      </w:r>
      <w:r>
        <w:rPr/>
        <w:t>we</w:t>
      </w:r>
      <w:r>
        <w:rPr>
          <w:spacing w:val="-3"/>
        </w:rPr>
        <w:t> </w:t>
      </w:r>
      <w:r>
        <w:rPr/>
        <w:t>look</w:t>
      </w:r>
      <w:r>
        <w:rPr>
          <w:spacing w:val="-4"/>
        </w:rPr>
        <w:t> </w:t>
      </w:r>
      <w:r>
        <w:rPr/>
        <w:t>forward</w:t>
      </w:r>
      <w:r>
        <w:rPr>
          <w:spacing w:val="-3"/>
        </w:rPr>
        <w:t> </w:t>
      </w:r>
      <w:r>
        <w:rPr/>
        <w:t>to</w:t>
      </w:r>
      <w:r>
        <w:rPr>
          <w:spacing w:val="-3"/>
        </w:rPr>
        <w:t> </w:t>
      </w:r>
      <w:r>
        <w:rPr/>
        <w:t>working</w:t>
      </w:r>
      <w:r>
        <w:rPr>
          <w:spacing w:val="-3"/>
        </w:rPr>
        <w:t> </w:t>
      </w:r>
      <w:r>
        <w:rPr/>
        <w:t>with</w:t>
      </w:r>
      <w:r>
        <w:rPr>
          <w:spacing w:val="-4"/>
        </w:rPr>
        <w:t> </w:t>
      </w:r>
      <w:r>
        <w:rPr/>
        <w:t>you</w:t>
      </w:r>
      <w:r>
        <w:rPr>
          <w:spacing w:val="-3"/>
        </w:rPr>
        <w:t> </w:t>
      </w:r>
      <w:r>
        <w:rPr/>
        <w:t>on</w:t>
      </w:r>
      <w:r>
        <w:rPr>
          <w:spacing w:val="-3"/>
        </w:rPr>
        <w:t> </w:t>
      </w:r>
      <w:r>
        <w:rPr/>
        <w:t>these</w:t>
      </w:r>
      <w:r>
        <w:rPr>
          <w:spacing w:val="-3"/>
        </w:rPr>
        <w:t> </w:t>
      </w:r>
      <w:r>
        <w:rPr/>
        <w:t>important </w:t>
      </w:r>
      <w:r>
        <w:rPr>
          <w:spacing w:val="-2"/>
        </w:rPr>
        <w:t>issues.</w:t>
      </w:r>
    </w:p>
    <w:p>
      <w:pPr>
        <w:pStyle w:val="BodyText"/>
        <w:spacing w:before="1"/>
        <w:ind w:left="0"/>
      </w:pPr>
    </w:p>
    <w:p>
      <w:pPr>
        <w:pStyle w:val="BodyText"/>
      </w:pPr>
      <w:r>
        <w:rPr/>
        <w:drawing>
          <wp:anchor distT="0" distB="0" distL="0" distR="0" allowOverlap="1" layoutInCell="1" locked="0" behindDoc="0" simplePos="0" relativeHeight="15730176">
            <wp:simplePos x="0" y="0"/>
            <wp:positionH relativeFrom="page">
              <wp:posOffset>685800</wp:posOffset>
            </wp:positionH>
            <wp:positionV relativeFrom="paragraph">
              <wp:posOffset>379866</wp:posOffset>
            </wp:positionV>
            <wp:extent cx="1161055" cy="434217"/>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10" cstate="print"/>
                    <a:stretch>
                      <a:fillRect/>
                    </a:stretch>
                  </pic:blipFill>
                  <pic:spPr>
                    <a:xfrm>
                      <a:off x="0" y="0"/>
                      <a:ext cx="1161055" cy="434217"/>
                    </a:xfrm>
                    <a:prstGeom prst="rect">
                      <a:avLst/>
                    </a:prstGeom>
                  </pic:spPr>
                </pic:pic>
              </a:graphicData>
            </a:graphic>
          </wp:anchor>
        </w:drawing>
      </w:r>
      <w:r>
        <w:rPr>
          <w:color w:val="242424"/>
          <w:spacing w:val="-2"/>
        </w:rPr>
        <w:t>Sincerely,</w:t>
      </w:r>
    </w:p>
    <w:p>
      <w:pPr>
        <w:pStyle w:val="BodyText"/>
        <w:ind w:left="0"/>
      </w:pPr>
    </w:p>
    <w:p>
      <w:pPr>
        <w:pStyle w:val="BodyText"/>
        <w:spacing w:before="205"/>
        <w:ind w:left="0"/>
      </w:pPr>
    </w:p>
    <w:p>
      <w:pPr>
        <w:pStyle w:val="BodyText"/>
        <w:spacing w:line="810" w:lineRule="atLeast"/>
        <w:ind w:right="7434"/>
      </w:pPr>
      <w:r>
        <w:rPr>
          <w:color w:val="242424"/>
        </w:rPr>
        <w:t>Ted</w:t>
      </w:r>
      <w:r>
        <w:rPr>
          <w:color w:val="242424"/>
          <w:spacing w:val="-15"/>
        </w:rPr>
        <w:t> </w:t>
      </w:r>
      <w:r>
        <w:rPr>
          <w:color w:val="242424"/>
        </w:rPr>
        <w:t>Mitchell,</w:t>
      </w:r>
      <w:r>
        <w:rPr>
          <w:color w:val="242424"/>
          <w:spacing w:val="-14"/>
        </w:rPr>
        <w:t> </w:t>
      </w:r>
      <w:r>
        <w:rPr>
          <w:color w:val="242424"/>
        </w:rPr>
        <w:t>President </w:t>
      </w:r>
      <w:r>
        <w:rPr/>
        <w:t>On behalf of:</w:t>
      </w:r>
    </w:p>
    <w:p>
      <w:pPr>
        <w:pStyle w:val="BodyText"/>
        <w:spacing w:before="10"/>
        <w:ind w:left="0"/>
      </w:pPr>
    </w:p>
    <w:p>
      <w:pPr>
        <w:pStyle w:val="BodyText"/>
        <w:spacing w:line="237" w:lineRule="auto"/>
        <w:ind w:right="4304"/>
      </w:pPr>
      <w:r>
        <w:rPr/>
        <w:t>American Association of Community Colleges</w:t>
      </w:r>
      <w:r>
        <w:rPr>
          <w:spacing w:val="40"/>
        </w:rPr>
        <w:t> </w:t>
      </w:r>
      <w:r>
        <w:rPr/>
        <w:t>American</w:t>
      </w:r>
      <w:r>
        <w:rPr>
          <w:spacing w:val="-7"/>
        </w:rPr>
        <w:t> </w:t>
      </w:r>
      <w:r>
        <w:rPr/>
        <w:t>Association</w:t>
      </w:r>
      <w:r>
        <w:rPr>
          <w:spacing w:val="-7"/>
        </w:rPr>
        <w:t> </w:t>
      </w:r>
      <w:r>
        <w:rPr/>
        <w:t>of</w:t>
      </w:r>
      <w:r>
        <w:rPr>
          <w:spacing w:val="-7"/>
        </w:rPr>
        <w:t> </w:t>
      </w:r>
      <w:r>
        <w:rPr/>
        <w:t>State</w:t>
      </w:r>
      <w:r>
        <w:rPr>
          <w:spacing w:val="-7"/>
        </w:rPr>
        <w:t> </w:t>
      </w:r>
      <w:r>
        <w:rPr/>
        <w:t>Colleges</w:t>
      </w:r>
      <w:r>
        <w:rPr>
          <w:spacing w:val="-7"/>
        </w:rPr>
        <w:t> </w:t>
      </w:r>
      <w:r>
        <w:rPr/>
        <w:t>and</w:t>
      </w:r>
      <w:r>
        <w:rPr>
          <w:spacing w:val="-7"/>
        </w:rPr>
        <w:t> </w:t>
      </w:r>
      <w:r>
        <w:rPr/>
        <w:t>Universities American Council on Education</w:t>
      </w:r>
    </w:p>
    <w:p>
      <w:pPr>
        <w:pStyle w:val="BodyText"/>
        <w:spacing w:before="4"/>
        <w:ind w:right="5032"/>
      </w:pPr>
      <w:r>
        <w:rPr/>
        <w:t>American Indian Higher Education Consortium Association of American Universities</w:t>
      </w:r>
      <w:r>
        <w:rPr>
          <w:spacing w:val="40"/>
        </w:rPr>
        <w:t> </w:t>
      </w:r>
      <w:r>
        <w:rPr/>
        <w:t>Association</w:t>
      </w:r>
      <w:r>
        <w:rPr>
          <w:spacing w:val="-8"/>
        </w:rPr>
        <w:t> </w:t>
      </w:r>
      <w:r>
        <w:rPr/>
        <w:t>of</w:t>
      </w:r>
      <w:r>
        <w:rPr>
          <w:spacing w:val="-8"/>
        </w:rPr>
        <w:t> </w:t>
      </w:r>
      <w:r>
        <w:rPr/>
        <w:t>Catholic</w:t>
      </w:r>
      <w:r>
        <w:rPr>
          <w:spacing w:val="-8"/>
        </w:rPr>
        <w:t> </w:t>
      </w:r>
      <w:r>
        <w:rPr/>
        <w:t>Colleges</w:t>
      </w:r>
      <w:r>
        <w:rPr>
          <w:spacing w:val="-8"/>
        </w:rPr>
        <w:t> </w:t>
      </w:r>
      <w:r>
        <w:rPr/>
        <w:t>and</w:t>
      </w:r>
      <w:r>
        <w:rPr>
          <w:spacing w:val="-8"/>
        </w:rPr>
        <w:t> </w:t>
      </w:r>
      <w:r>
        <w:rPr/>
        <w:t>Universities Association of Jesuit Colleges and Universities</w:t>
      </w:r>
    </w:p>
    <w:p>
      <w:pPr>
        <w:pStyle w:val="BodyText"/>
        <w:ind w:right="4166"/>
      </w:pPr>
      <w:r>
        <w:rPr/>
        <w:t>Association</w:t>
      </w:r>
      <w:r>
        <w:rPr>
          <w:spacing w:val="-8"/>
        </w:rPr>
        <w:t> </w:t>
      </w:r>
      <w:r>
        <w:rPr/>
        <w:t>of</w:t>
      </w:r>
      <w:r>
        <w:rPr>
          <w:spacing w:val="-8"/>
        </w:rPr>
        <w:t> </w:t>
      </w:r>
      <w:r>
        <w:rPr/>
        <w:t>Public</w:t>
      </w:r>
      <w:r>
        <w:rPr>
          <w:spacing w:val="-8"/>
        </w:rPr>
        <w:t> </w:t>
      </w:r>
      <w:r>
        <w:rPr/>
        <w:t>and</w:t>
      </w:r>
      <w:r>
        <w:rPr>
          <w:spacing w:val="-8"/>
        </w:rPr>
        <w:t> </w:t>
      </w:r>
      <w:r>
        <w:rPr/>
        <w:t>Land-grant</w:t>
      </w:r>
      <w:r>
        <w:rPr>
          <w:spacing w:val="-8"/>
        </w:rPr>
        <w:t> </w:t>
      </w:r>
      <w:r>
        <w:rPr/>
        <w:t>Universities Council of Graduate Schools</w:t>
      </w:r>
    </w:p>
    <w:p>
      <w:pPr>
        <w:pStyle w:val="BodyText"/>
      </w:pPr>
      <w:r>
        <w:rPr>
          <w:spacing w:val="-2"/>
        </w:rPr>
        <w:t>EDUCAUSE</w:t>
      </w:r>
    </w:p>
    <w:p>
      <w:pPr>
        <w:pStyle w:val="BodyText"/>
        <w:spacing w:before="1"/>
      </w:pPr>
      <w:r>
        <w:rPr/>
        <w:t>Hispanic</w:t>
      </w:r>
      <w:r>
        <w:rPr>
          <w:spacing w:val="-1"/>
        </w:rPr>
        <w:t> </w:t>
      </w:r>
      <w:r>
        <w:rPr/>
        <w:t>Association</w:t>
      </w:r>
      <w:r>
        <w:rPr>
          <w:spacing w:val="-1"/>
        </w:rPr>
        <w:t> </w:t>
      </w:r>
      <w:r>
        <w:rPr/>
        <w:t>of Colleges</w:t>
      </w:r>
      <w:r>
        <w:rPr>
          <w:spacing w:val="-1"/>
        </w:rPr>
        <w:t> </w:t>
      </w:r>
      <w:r>
        <w:rPr/>
        <w:t>and </w:t>
      </w:r>
      <w:r>
        <w:rPr>
          <w:spacing w:val="-2"/>
        </w:rPr>
        <w:t>Universities</w:t>
      </w:r>
    </w:p>
    <w:p>
      <w:pPr>
        <w:pStyle w:val="BodyText"/>
        <w:spacing w:line="237" w:lineRule="auto" w:before="3"/>
        <w:ind w:right="2668"/>
      </w:pPr>
      <w:r>
        <w:rPr/>
        <w:t>National</w:t>
      </w:r>
      <w:r>
        <w:rPr>
          <w:spacing w:val="-7"/>
        </w:rPr>
        <w:t> </w:t>
      </w:r>
      <w:r>
        <w:rPr/>
        <w:t>Association</w:t>
      </w:r>
      <w:r>
        <w:rPr>
          <w:spacing w:val="-6"/>
        </w:rPr>
        <w:t> </w:t>
      </w:r>
      <w:r>
        <w:rPr/>
        <w:t>of</w:t>
      </w:r>
      <w:r>
        <w:rPr>
          <w:spacing w:val="-6"/>
        </w:rPr>
        <w:t> </w:t>
      </w:r>
      <w:r>
        <w:rPr/>
        <w:t>College</w:t>
      </w:r>
      <w:r>
        <w:rPr>
          <w:spacing w:val="-6"/>
        </w:rPr>
        <w:t> </w:t>
      </w:r>
      <w:r>
        <w:rPr/>
        <w:t>and</w:t>
      </w:r>
      <w:r>
        <w:rPr>
          <w:spacing w:val="-6"/>
        </w:rPr>
        <w:t> </w:t>
      </w:r>
      <w:r>
        <w:rPr/>
        <w:t>University</w:t>
      </w:r>
      <w:r>
        <w:rPr>
          <w:spacing w:val="-6"/>
        </w:rPr>
        <w:t> </w:t>
      </w:r>
      <w:r>
        <w:rPr/>
        <w:t>Business</w:t>
      </w:r>
      <w:r>
        <w:rPr>
          <w:spacing w:val="-6"/>
        </w:rPr>
        <w:t> </w:t>
      </w:r>
      <w:r>
        <w:rPr/>
        <w:t>Officers National Association of Independent Colleges and Universities National Association of Student Financial Aid Administrators</w:t>
      </w:r>
    </w:p>
    <w:p>
      <w:pPr>
        <w:pStyle w:val="BodyText"/>
        <w:ind w:left="0"/>
        <w:rPr>
          <w:sz w:val="20"/>
        </w:rPr>
      </w:pPr>
    </w:p>
    <w:p>
      <w:pPr>
        <w:pStyle w:val="BodyText"/>
        <w:spacing w:before="67"/>
        <w:ind w:left="0"/>
        <w:rPr>
          <w:sz w:val="20"/>
        </w:rPr>
      </w:pPr>
      <w:r>
        <w:rPr/>
        <mc:AlternateContent>
          <mc:Choice Requires="wps">
            <w:drawing>
              <wp:anchor distT="0" distB="0" distL="0" distR="0" allowOverlap="1" layoutInCell="1" locked="0" behindDoc="1" simplePos="0" relativeHeight="487588864">
                <wp:simplePos x="0" y="0"/>
                <wp:positionH relativeFrom="page">
                  <wp:posOffset>685800</wp:posOffset>
                </wp:positionH>
                <wp:positionV relativeFrom="paragraph">
                  <wp:posOffset>202519</wp:posOffset>
                </wp:positionV>
                <wp:extent cx="1828800" cy="9525"/>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4pt;margin-top:15.946445pt;width:144pt;height:.72pt;mso-position-horizontal-relative:page;mso-position-vertical-relative:paragraph;z-index:-15727616;mso-wrap-distance-left:0;mso-wrap-distance-right:0" id="docshape3" filled="true" fillcolor="#000000" stroked="false">
                <v:fill type="solid"/>
                <w10:wrap type="topAndBottom"/>
              </v:rect>
            </w:pict>
          </mc:Fallback>
        </mc:AlternateContent>
      </w:r>
    </w:p>
    <w:p>
      <w:pPr>
        <w:spacing w:before="112"/>
        <w:ind w:left="100" w:right="1958" w:firstLine="0"/>
        <w:jc w:val="both"/>
        <w:rPr>
          <w:sz w:val="20"/>
        </w:rPr>
      </w:pPr>
      <w:r>
        <w:rPr>
          <w:rFonts w:ascii="Calibri"/>
          <w:sz w:val="20"/>
          <w:vertAlign w:val="superscript"/>
        </w:rPr>
        <w:t>6</w:t>
      </w:r>
      <w:r>
        <w:rPr>
          <w:rFonts w:ascii="Calibri"/>
          <w:sz w:val="20"/>
          <w:vertAlign w:val="baseline"/>
        </w:rPr>
        <w:t> </w:t>
      </w:r>
      <w:r>
        <w:rPr>
          <w:sz w:val="20"/>
          <w:vertAlign w:val="baseline"/>
        </w:rPr>
        <w:t>May 7, 2025 COGR comments to OMB: </w:t>
      </w:r>
      <w:r>
        <w:rPr>
          <w:color w:val="0563C1"/>
          <w:spacing w:val="-2"/>
          <w:sz w:val="20"/>
          <w:u w:val="single" w:color="0563C1"/>
          <w:vertAlign w:val="baseline"/>
        </w:rPr>
        <w:t>https://</w:t>
      </w:r>
      <w:hyperlink r:id="rId11">
        <w:r>
          <w:rPr>
            <w:color w:val="0563C1"/>
            <w:spacing w:val="-2"/>
            <w:sz w:val="20"/>
            <w:u w:val="single" w:color="0563C1"/>
            <w:vertAlign w:val="baseline"/>
          </w:rPr>
          <w:t>www.cogr.edu/sites/default/files/COGR%20Response_Deregulation%20RFI-_0.pdf</w:t>
        </w:r>
      </w:hyperlink>
    </w:p>
    <w:p>
      <w:pPr>
        <w:spacing w:line="240" w:lineRule="auto" w:before="0"/>
        <w:ind w:left="100" w:right="212" w:firstLine="0"/>
        <w:jc w:val="both"/>
        <w:rPr>
          <w:sz w:val="20"/>
        </w:rPr>
      </w:pPr>
      <w:r>
        <w:rPr>
          <w:rFonts w:ascii="Calibri" w:hAnsi="Calibri"/>
          <w:sz w:val="20"/>
          <w:vertAlign w:val="superscript"/>
        </w:rPr>
        <w:t>7</w:t>
      </w:r>
      <w:r>
        <w:rPr>
          <w:rFonts w:ascii="Calibri" w:hAnsi="Calibri"/>
          <w:spacing w:val="-1"/>
          <w:sz w:val="20"/>
          <w:vertAlign w:val="baseline"/>
        </w:rPr>
        <w:t> </w:t>
      </w:r>
      <w:r>
        <w:rPr>
          <w:sz w:val="20"/>
          <w:vertAlign w:val="baseline"/>
        </w:rPr>
        <w:t>April</w:t>
      </w:r>
      <w:r>
        <w:rPr>
          <w:spacing w:val="-3"/>
          <w:sz w:val="20"/>
          <w:vertAlign w:val="baseline"/>
        </w:rPr>
        <w:t> </w:t>
      </w:r>
      <w:r>
        <w:rPr>
          <w:sz w:val="20"/>
          <w:vertAlign w:val="baseline"/>
        </w:rPr>
        <w:t>2025</w:t>
      </w:r>
      <w:r>
        <w:rPr>
          <w:spacing w:val="-3"/>
          <w:sz w:val="20"/>
          <w:vertAlign w:val="baseline"/>
        </w:rPr>
        <w:t> </w:t>
      </w:r>
      <w:r>
        <w:rPr>
          <w:sz w:val="20"/>
          <w:vertAlign w:val="baseline"/>
        </w:rPr>
        <w:t>COGR</w:t>
      </w:r>
      <w:r>
        <w:rPr>
          <w:spacing w:val="-4"/>
          <w:sz w:val="20"/>
          <w:vertAlign w:val="baseline"/>
        </w:rPr>
        <w:t> </w:t>
      </w:r>
      <w:r>
        <w:rPr>
          <w:sz w:val="20"/>
          <w:vertAlign w:val="baseline"/>
        </w:rPr>
        <w:t>“Actionable</w:t>
      </w:r>
      <w:r>
        <w:rPr>
          <w:spacing w:val="-3"/>
          <w:sz w:val="20"/>
          <w:vertAlign w:val="baseline"/>
        </w:rPr>
        <w:t> </w:t>
      </w:r>
      <w:r>
        <w:rPr>
          <w:sz w:val="20"/>
          <w:vertAlign w:val="baseline"/>
        </w:rPr>
        <w:t>Ideas</w:t>
      </w:r>
      <w:r>
        <w:rPr>
          <w:spacing w:val="-3"/>
          <w:sz w:val="20"/>
          <w:vertAlign w:val="baseline"/>
        </w:rPr>
        <w:t> </w:t>
      </w:r>
      <w:r>
        <w:rPr>
          <w:sz w:val="20"/>
          <w:vertAlign w:val="baseline"/>
        </w:rPr>
        <w:t>to</w:t>
      </w:r>
      <w:r>
        <w:rPr>
          <w:spacing w:val="-3"/>
          <w:sz w:val="20"/>
          <w:vertAlign w:val="baseline"/>
        </w:rPr>
        <w:t> </w:t>
      </w:r>
      <w:r>
        <w:rPr>
          <w:sz w:val="20"/>
          <w:vertAlign w:val="baseline"/>
        </w:rPr>
        <w:t>Improve</w:t>
      </w:r>
      <w:r>
        <w:rPr>
          <w:spacing w:val="-3"/>
          <w:sz w:val="20"/>
          <w:vertAlign w:val="baseline"/>
        </w:rPr>
        <w:t> </w:t>
      </w:r>
      <w:r>
        <w:rPr>
          <w:sz w:val="20"/>
          <w:vertAlign w:val="baseline"/>
        </w:rPr>
        <w:t>Government</w:t>
      </w:r>
      <w:r>
        <w:rPr>
          <w:spacing w:val="-3"/>
          <w:sz w:val="20"/>
          <w:vertAlign w:val="baseline"/>
        </w:rPr>
        <w:t> </w:t>
      </w:r>
      <w:r>
        <w:rPr>
          <w:sz w:val="20"/>
          <w:vertAlign w:val="baseline"/>
        </w:rPr>
        <w:t>Efficiency</w:t>
      </w:r>
      <w:r>
        <w:rPr>
          <w:spacing w:val="-3"/>
          <w:sz w:val="20"/>
          <w:vertAlign w:val="baseline"/>
        </w:rPr>
        <w:t> </w:t>
      </w:r>
      <w:r>
        <w:rPr>
          <w:sz w:val="20"/>
          <w:vertAlign w:val="baseline"/>
        </w:rPr>
        <w:t>Affecting</w:t>
      </w:r>
      <w:r>
        <w:rPr>
          <w:spacing w:val="-3"/>
          <w:sz w:val="20"/>
          <w:vertAlign w:val="baseline"/>
        </w:rPr>
        <w:t> </w:t>
      </w:r>
      <w:r>
        <w:rPr>
          <w:sz w:val="20"/>
          <w:vertAlign w:val="baseline"/>
        </w:rPr>
        <w:t>the</w:t>
      </w:r>
      <w:r>
        <w:rPr>
          <w:spacing w:val="-3"/>
          <w:sz w:val="20"/>
          <w:vertAlign w:val="baseline"/>
        </w:rPr>
        <w:t> </w:t>
      </w:r>
      <w:r>
        <w:rPr>
          <w:sz w:val="20"/>
          <w:vertAlign w:val="baseline"/>
        </w:rPr>
        <w:t>Performance</w:t>
      </w:r>
      <w:r>
        <w:rPr>
          <w:spacing w:val="-3"/>
          <w:sz w:val="20"/>
          <w:vertAlign w:val="baseline"/>
        </w:rPr>
        <w:t> </w:t>
      </w:r>
      <w:r>
        <w:rPr>
          <w:sz w:val="20"/>
          <w:vertAlign w:val="baseline"/>
        </w:rPr>
        <w:t>of</w:t>
      </w:r>
      <w:r>
        <w:rPr>
          <w:spacing w:val="-3"/>
          <w:sz w:val="20"/>
          <w:vertAlign w:val="baseline"/>
        </w:rPr>
        <w:t> </w:t>
      </w:r>
      <w:r>
        <w:rPr>
          <w:sz w:val="20"/>
          <w:vertAlign w:val="baseline"/>
        </w:rPr>
        <w:t>Research”: </w:t>
      </w:r>
      <w:r>
        <w:rPr>
          <w:color w:val="0563C1"/>
          <w:spacing w:val="-2"/>
          <w:sz w:val="20"/>
          <w:u w:val="single" w:color="0563C1"/>
          <w:vertAlign w:val="baseline"/>
        </w:rPr>
        <w:t>https://</w:t>
      </w:r>
      <w:hyperlink r:id="rId12">
        <w:r>
          <w:rPr>
            <w:color w:val="0563C1"/>
            <w:spacing w:val="-2"/>
            <w:sz w:val="20"/>
            <w:u w:val="single" w:color="0563C1"/>
            <w:vertAlign w:val="baseline"/>
          </w:rPr>
          <w:t>www.cogr.edu/sites/default/files/Actionable%20Ideas%20to%20Improve%20Gov%20Efficiency%20CO</w:t>
        </w:r>
      </w:hyperlink>
      <w:r>
        <w:rPr>
          <w:color w:val="0563C1"/>
          <w:spacing w:val="-2"/>
          <w:sz w:val="20"/>
          <w:u w:val="none"/>
          <w:vertAlign w:val="baseline"/>
        </w:rPr>
        <w:t> </w:t>
      </w:r>
      <w:r>
        <w:rPr>
          <w:color w:val="0563C1"/>
          <w:spacing w:val="-2"/>
          <w:sz w:val="20"/>
          <w:u w:val="single" w:color="0563C1"/>
          <w:vertAlign w:val="baseline"/>
        </w:rPr>
        <w:t>GR_0.pdf</w:t>
      </w:r>
    </w:p>
    <w:sectPr>
      <w:pgSz w:w="12240" w:h="15840"/>
      <w:pgMar w:top="1360" w:bottom="280" w:left="980" w:right="9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Georgia">
    <w:altName w:val="Georgia"/>
    <w:charset w:val="0"/>
    <w:family w:val="roman"/>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2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766" w:hanging="360"/>
      </w:pPr>
      <w:rPr>
        <w:rFonts w:hint="default"/>
        <w:lang w:val="en-US" w:eastAsia="en-US" w:bidi="ar-SA"/>
      </w:rPr>
    </w:lvl>
    <w:lvl w:ilvl="2">
      <w:start w:val="0"/>
      <w:numFmt w:val="bullet"/>
      <w:lvlText w:val="•"/>
      <w:lvlJc w:val="left"/>
      <w:pPr>
        <w:ind w:left="2712" w:hanging="360"/>
      </w:pPr>
      <w:rPr>
        <w:rFonts w:hint="default"/>
        <w:lang w:val="en-US" w:eastAsia="en-US" w:bidi="ar-SA"/>
      </w:rPr>
    </w:lvl>
    <w:lvl w:ilvl="3">
      <w:start w:val="0"/>
      <w:numFmt w:val="bullet"/>
      <w:lvlText w:val="•"/>
      <w:lvlJc w:val="left"/>
      <w:pPr>
        <w:ind w:left="3658" w:hanging="360"/>
      </w:pPr>
      <w:rPr>
        <w:rFonts w:hint="default"/>
        <w:lang w:val="en-US" w:eastAsia="en-US" w:bidi="ar-SA"/>
      </w:rPr>
    </w:lvl>
    <w:lvl w:ilvl="4">
      <w:start w:val="0"/>
      <w:numFmt w:val="bullet"/>
      <w:lvlText w:val="•"/>
      <w:lvlJc w:val="left"/>
      <w:pPr>
        <w:ind w:left="4604" w:hanging="360"/>
      </w:pPr>
      <w:rPr>
        <w:rFonts w:hint="default"/>
        <w:lang w:val="en-US" w:eastAsia="en-US" w:bidi="ar-SA"/>
      </w:rPr>
    </w:lvl>
    <w:lvl w:ilvl="5">
      <w:start w:val="0"/>
      <w:numFmt w:val="bullet"/>
      <w:lvlText w:val="•"/>
      <w:lvlJc w:val="left"/>
      <w:pPr>
        <w:ind w:left="5550" w:hanging="360"/>
      </w:pPr>
      <w:rPr>
        <w:rFonts w:hint="default"/>
        <w:lang w:val="en-US" w:eastAsia="en-US" w:bidi="ar-SA"/>
      </w:rPr>
    </w:lvl>
    <w:lvl w:ilvl="6">
      <w:start w:val="0"/>
      <w:numFmt w:val="bullet"/>
      <w:lvlText w:val="•"/>
      <w:lvlJc w:val="left"/>
      <w:pPr>
        <w:ind w:left="6496" w:hanging="360"/>
      </w:pPr>
      <w:rPr>
        <w:rFonts w:hint="default"/>
        <w:lang w:val="en-US" w:eastAsia="en-US" w:bidi="ar-SA"/>
      </w:rPr>
    </w:lvl>
    <w:lvl w:ilvl="7">
      <w:start w:val="0"/>
      <w:numFmt w:val="bullet"/>
      <w:lvlText w:val="•"/>
      <w:lvlJc w:val="left"/>
      <w:pPr>
        <w:ind w:left="7442" w:hanging="360"/>
      </w:pPr>
      <w:rPr>
        <w:rFonts w:hint="default"/>
        <w:lang w:val="en-US" w:eastAsia="en-US" w:bidi="ar-SA"/>
      </w:rPr>
    </w:lvl>
    <w:lvl w:ilvl="8">
      <w:start w:val="0"/>
      <w:numFmt w:val="bullet"/>
      <w:lvlText w:val="•"/>
      <w:lvlJc w:val="left"/>
      <w:pPr>
        <w:ind w:left="8388"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eorgia" w:hAnsi="Georgia" w:eastAsia="Georgia" w:cs="Georgia"/>
      <w:lang w:val="en-US" w:eastAsia="en-US" w:bidi="ar-SA"/>
    </w:rPr>
  </w:style>
  <w:style w:styleId="BodyText" w:type="paragraph">
    <w:name w:val="Body Text"/>
    <w:basedOn w:val="Normal"/>
    <w:uiPriority w:val="1"/>
    <w:qFormat/>
    <w:pPr>
      <w:ind w:left="100"/>
    </w:pPr>
    <w:rPr>
      <w:rFonts w:ascii="Georgia" w:hAnsi="Georgia" w:eastAsia="Georgia" w:cs="Georgia"/>
      <w:sz w:val="24"/>
      <w:szCs w:val="24"/>
      <w:lang w:val="en-US" w:eastAsia="en-US" w:bidi="ar-SA"/>
    </w:rPr>
  </w:style>
  <w:style w:styleId="ListParagraph" w:type="paragraph">
    <w:name w:val="List Paragraph"/>
    <w:basedOn w:val="Normal"/>
    <w:uiPriority w:val="1"/>
    <w:qFormat/>
    <w:pPr>
      <w:spacing w:line="293" w:lineRule="exact"/>
      <w:ind w:left="819" w:hanging="359"/>
    </w:pPr>
    <w:rPr>
      <w:rFonts w:ascii="Georgia" w:hAnsi="Georgia" w:eastAsia="Georgia" w:cs="Georgia"/>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www.acenet.edu/Documents/Higher-Education-Regulations-Task-Force-Report.pdf" TargetMode="External"/><Relationship Id="rId7" Type="http://schemas.openxmlformats.org/officeDocument/2006/relationships/hyperlink" Target="http://www.acenet.edu/Documents/Comments-ED-Rulemaking-Topics-050825.pdf" TargetMode="External"/><Relationship Id="rId8" Type="http://schemas.openxmlformats.org/officeDocument/2006/relationships/hyperlink" Target="http://www.federalregister.gov/documents/2024/04/24/2024-07758/nondiscrimination-on-the-basis-of-" TargetMode="External"/><Relationship Id="rId9" Type="http://schemas.openxmlformats.org/officeDocument/2006/relationships/hyperlink" Target="http://www.federalregister.gov/documents/2023/10/10/2023-20385/financial-value-transparency-and-" TargetMode="External"/><Relationship Id="rId10" Type="http://schemas.openxmlformats.org/officeDocument/2006/relationships/image" Target="media/image2.jpeg"/><Relationship Id="rId11" Type="http://schemas.openxmlformats.org/officeDocument/2006/relationships/hyperlink" Target="http://www.cogr.edu/sites/default/files/COGR%20Response_Deregulation%20RFI-_0.pdf" TargetMode="External"/><Relationship Id="rId12" Type="http://schemas.openxmlformats.org/officeDocument/2006/relationships/hyperlink" Target="http://www.cogr.edu/sites/default/files/Actionable%20Ideas%20to%20Improve%20Gov%20Efficiency%20CO" TargetMode="External"/><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2025-08-09T00:19:47Z</dcterms:created>
  <dcterms:modified xsi:type="dcterms:W3CDTF">2025-08-09T00:19:47Z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2025-05-12T00:00:00Z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2025-05-12T00:00:00Z</vt:filetime>
  </property>
</Properties>
</file>