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55"/>
        <w:rPr>
          <w:rFonts w:ascii="Times New Roman"/>
          <w:sz w:val="20"/>
        </w:rPr>
      </w:pPr>
      <w:r>
        <w:rPr>
          <w:rFonts w:ascii="Times New Roman"/>
          <w:sz w:val="20"/>
        </w:rPr>
        <w:drawing>
          <wp:inline distT="0" distB="0" distL="0" distR="0">
            <wp:extent cx="2669682" cy="138531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69682" cy="1385316"/>
                    </a:xfrm>
                    <a:prstGeom prst="rect">
                      <a:avLst/>
                    </a:prstGeom>
                  </pic:spPr>
                </pic:pic>
              </a:graphicData>
            </a:graphic>
          </wp:inline>
        </w:drawing>
      </w:r>
      <w:r>
        <w:rPr>
          <w:rFonts w:ascii="Times New Roman"/>
          <w:sz w:val="20"/>
        </w:rPr>
      </w:r>
    </w:p>
    <w:p>
      <w:pPr>
        <w:spacing w:before="0"/>
        <w:ind w:left="220" w:right="0" w:firstLine="0"/>
        <w:jc w:val="left"/>
        <w:rPr>
          <w:b/>
          <w:i/>
          <w:sz w:val="22"/>
        </w:rPr>
      </w:pPr>
      <w:r>
        <w:rPr>
          <w:b/>
          <w:i/>
          <w:sz w:val="22"/>
        </w:rPr>
        <w:t>Submitted</w:t>
      </w:r>
      <w:r>
        <w:rPr>
          <w:b/>
          <w:i/>
          <w:spacing w:val="-6"/>
          <w:sz w:val="22"/>
        </w:rPr>
        <w:t> </w:t>
      </w:r>
      <w:r>
        <w:rPr>
          <w:b/>
          <w:i/>
          <w:sz w:val="22"/>
        </w:rPr>
        <w:t>via</w:t>
      </w:r>
      <w:r>
        <w:rPr>
          <w:b/>
          <w:i/>
          <w:spacing w:val="-5"/>
          <w:sz w:val="22"/>
        </w:rPr>
        <w:t> </w:t>
      </w:r>
      <w:r>
        <w:rPr>
          <w:b/>
          <w:i/>
          <w:spacing w:val="-2"/>
          <w:sz w:val="22"/>
        </w:rPr>
        <w:t>regulations.gov</w:t>
      </w:r>
    </w:p>
    <w:p>
      <w:pPr>
        <w:pStyle w:val="BodyText"/>
        <w:spacing w:before="2"/>
        <w:rPr>
          <w:b/>
          <w:i/>
        </w:rPr>
      </w:pPr>
    </w:p>
    <w:p>
      <w:pPr>
        <w:pStyle w:val="BodyText"/>
        <w:spacing w:before="1"/>
        <w:ind w:left="220"/>
      </w:pPr>
      <w:r>
        <w:rPr/>
        <w:t>July</w:t>
      </w:r>
      <w:r>
        <w:rPr>
          <w:spacing w:val="-7"/>
        </w:rPr>
        <w:t> </w:t>
      </w:r>
      <w:r>
        <w:rPr/>
        <w:t>30, </w:t>
      </w:r>
      <w:r>
        <w:rPr>
          <w:spacing w:val="-4"/>
        </w:rPr>
        <w:t>2025</w:t>
      </w:r>
    </w:p>
    <w:p>
      <w:pPr>
        <w:pStyle w:val="BodyText"/>
        <w:spacing w:before="7"/>
      </w:pPr>
    </w:p>
    <w:p>
      <w:pPr>
        <w:pStyle w:val="BodyText"/>
        <w:ind w:left="220"/>
      </w:pPr>
      <w:r>
        <w:rPr/>
        <w:t>Michael</w:t>
      </w:r>
      <w:r>
        <w:rPr>
          <w:spacing w:val="-8"/>
        </w:rPr>
        <w:t> </w:t>
      </w:r>
      <w:r>
        <w:rPr/>
        <w:t>Hollar,</w:t>
      </w:r>
      <w:r>
        <w:rPr>
          <w:spacing w:val="-5"/>
        </w:rPr>
        <w:t> </w:t>
      </w:r>
      <w:r>
        <w:rPr/>
        <w:t>Senior</w:t>
      </w:r>
      <w:r>
        <w:rPr>
          <w:spacing w:val="-5"/>
        </w:rPr>
        <w:t> </w:t>
      </w:r>
      <w:r>
        <w:rPr>
          <w:spacing w:val="-2"/>
        </w:rPr>
        <w:t>Economist</w:t>
      </w:r>
    </w:p>
    <w:p>
      <w:pPr>
        <w:pStyle w:val="BodyText"/>
        <w:spacing w:before="2"/>
        <w:ind w:left="220"/>
      </w:pPr>
      <w:r>
        <w:rPr/>
        <w:t>Office</w:t>
      </w:r>
      <w:r>
        <w:rPr>
          <w:spacing w:val="-6"/>
        </w:rPr>
        <w:t> </w:t>
      </w:r>
      <w:r>
        <w:rPr/>
        <w:t>of</w:t>
      </w:r>
      <w:r>
        <w:rPr>
          <w:spacing w:val="-3"/>
        </w:rPr>
        <w:t> </w:t>
      </w:r>
      <w:r>
        <w:rPr/>
        <w:t>Policy</w:t>
      </w:r>
      <w:r>
        <w:rPr>
          <w:spacing w:val="-7"/>
        </w:rPr>
        <w:t> </w:t>
      </w:r>
      <w:r>
        <w:rPr/>
        <w:t>Development</w:t>
      </w:r>
      <w:r>
        <w:rPr>
          <w:spacing w:val="-5"/>
        </w:rPr>
        <w:t> </w:t>
      </w:r>
      <w:r>
        <w:rPr/>
        <w:t>and</w:t>
      </w:r>
      <w:r>
        <w:rPr>
          <w:spacing w:val="-5"/>
        </w:rPr>
        <w:t> </w:t>
      </w:r>
      <w:r>
        <w:rPr>
          <w:spacing w:val="-2"/>
        </w:rPr>
        <w:t>Research</w:t>
      </w:r>
    </w:p>
    <w:p>
      <w:pPr>
        <w:pStyle w:val="BodyText"/>
        <w:spacing w:line="244" w:lineRule="auto" w:before="4"/>
        <w:ind w:left="220" w:right="4948"/>
      </w:pPr>
      <w:r>
        <w:rPr/>
        <w:t>U.S.</w:t>
      </w:r>
      <w:r>
        <w:rPr>
          <w:spacing w:val="-10"/>
        </w:rPr>
        <w:t> </w:t>
      </w:r>
      <w:r>
        <w:rPr/>
        <w:t>Department</w:t>
      </w:r>
      <w:r>
        <w:rPr>
          <w:spacing w:val="-14"/>
        </w:rPr>
        <w:t> </w:t>
      </w:r>
      <w:r>
        <w:rPr/>
        <w:t>of</w:t>
      </w:r>
      <w:r>
        <w:rPr>
          <w:spacing w:val="-9"/>
        </w:rPr>
        <w:t> </w:t>
      </w:r>
      <w:r>
        <w:rPr/>
        <w:t>Housing</w:t>
      </w:r>
      <w:r>
        <w:rPr>
          <w:spacing w:val="-13"/>
        </w:rPr>
        <w:t> </w:t>
      </w:r>
      <w:r>
        <w:rPr/>
        <w:t>and</w:t>
      </w:r>
      <w:r>
        <w:rPr>
          <w:spacing w:val="-12"/>
        </w:rPr>
        <w:t> </w:t>
      </w:r>
      <w:r>
        <w:rPr/>
        <w:t>Urban</w:t>
      </w:r>
      <w:r>
        <w:rPr>
          <w:spacing w:val="-12"/>
        </w:rPr>
        <w:t> </w:t>
      </w:r>
      <w:r>
        <w:rPr/>
        <w:t>Development 451 7th Street, SW</w:t>
      </w:r>
    </w:p>
    <w:p>
      <w:pPr>
        <w:pStyle w:val="BodyText"/>
        <w:spacing w:line="251" w:lineRule="exact"/>
        <w:ind w:left="220"/>
      </w:pPr>
      <w:r>
        <w:rPr/>
        <w:t>Washington,</w:t>
      </w:r>
      <w:r>
        <w:rPr>
          <w:spacing w:val="-11"/>
        </w:rPr>
        <w:t> </w:t>
      </w:r>
      <w:r>
        <w:rPr/>
        <w:t>D.C.</w:t>
      </w:r>
      <w:r>
        <w:rPr>
          <w:spacing w:val="-5"/>
        </w:rPr>
        <w:t> </w:t>
      </w:r>
      <w:r>
        <w:rPr>
          <w:spacing w:val="-4"/>
        </w:rPr>
        <w:t>20410</w:t>
      </w:r>
    </w:p>
    <w:p>
      <w:pPr>
        <w:pStyle w:val="BodyText"/>
        <w:spacing w:before="27"/>
      </w:pPr>
    </w:p>
    <w:p>
      <w:pPr>
        <w:pStyle w:val="Heading1"/>
        <w:ind w:left="220"/>
      </w:pPr>
      <w:r>
        <w:rPr/>
        <w:t>RE:</w:t>
      </w:r>
      <w:r>
        <w:rPr>
          <w:spacing w:val="-4"/>
        </w:rPr>
        <w:t> </w:t>
      </w:r>
      <w:r>
        <w:rPr/>
        <w:t>60-Day</w:t>
      </w:r>
      <w:r>
        <w:rPr>
          <w:spacing w:val="-9"/>
        </w:rPr>
        <w:t> </w:t>
      </w:r>
      <w:r>
        <w:rPr/>
        <w:t>Notice</w:t>
      </w:r>
      <w:r>
        <w:rPr>
          <w:spacing w:val="-4"/>
        </w:rPr>
        <w:t> </w:t>
      </w:r>
      <w:r>
        <w:rPr/>
        <w:t>of</w:t>
      </w:r>
      <w:r>
        <w:rPr>
          <w:spacing w:val="-5"/>
        </w:rPr>
        <w:t> </w:t>
      </w:r>
      <w:r>
        <w:rPr/>
        <w:t>Proposed</w:t>
      </w:r>
      <w:r>
        <w:rPr>
          <w:spacing w:val="-3"/>
        </w:rPr>
        <w:t> </w:t>
      </w:r>
      <w:r>
        <w:rPr/>
        <w:t>Information</w:t>
      </w:r>
      <w:r>
        <w:rPr>
          <w:spacing w:val="-7"/>
        </w:rPr>
        <w:t> </w:t>
      </w:r>
      <w:r>
        <w:rPr/>
        <w:t>Collection:</w:t>
      </w:r>
      <w:r>
        <w:rPr>
          <w:spacing w:val="-3"/>
        </w:rPr>
        <w:t> </w:t>
      </w:r>
      <w:r>
        <w:rPr/>
        <w:t>Statutorily-Mandated</w:t>
      </w:r>
      <w:r>
        <w:rPr>
          <w:spacing w:val="-4"/>
        </w:rPr>
        <w:t> </w:t>
      </w:r>
      <w:r>
        <w:rPr/>
        <w:t>Collection</w:t>
      </w:r>
      <w:r>
        <w:rPr>
          <w:spacing w:val="-4"/>
        </w:rPr>
        <w:t> </w:t>
      </w:r>
      <w:r>
        <w:rPr/>
        <w:t>of Information of Tenants in LIHTC Properties; OMB Control No.:2528-0230</w:t>
      </w:r>
    </w:p>
    <w:p>
      <w:pPr>
        <w:pStyle w:val="BodyText"/>
        <w:spacing w:before="6"/>
        <w:rPr>
          <w:b/>
        </w:rPr>
      </w:pPr>
    </w:p>
    <w:p>
      <w:pPr>
        <w:pStyle w:val="BodyText"/>
        <w:spacing w:before="1"/>
        <w:ind w:left="220" w:right="277"/>
      </w:pPr>
      <w:r>
        <w:rPr/>
        <w:t>Thank you for the opportunity to comment on the “60-Day Notice of Proposed Information Collection: Statutorily-Mandated</w:t>
      </w:r>
      <w:r>
        <w:rPr>
          <w:spacing w:val="-4"/>
        </w:rPr>
        <w:t> </w:t>
      </w:r>
      <w:r>
        <w:rPr/>
        <w:t>Collection</w:t>
      </w:r>
      <w:r>
        <w:rPr>
          <w:spacing w:val="-4"/>
        </w:rPr>
        <w:t> </w:t>
      </w:r>
      <w:r>
        <w:rPr/>
        <w:t>of</w:t>
      </w:r>
      <w:r>
        <w:rPr>
          <w:spacing w:val="-2"/>
        </w:rPr>
        <w:t> </w:t>
      </w:r>
      <w:r>
        <w:rPr/>
        <w:t>Information</w:t>
      </w:r>
      <w:r>
        <w:rPr>
          <w:spacing w:val="-6"/>
        </w:rPr>
        <w:t> </w:t>
      </w:r>
      <w:r>
        <w:rPr/>
        <w:t>of</w:t>
      </w:r>
      <w:r>
        <w:rPr>
          <w:spacing w:val="-5"/>
        </w:rPr>
        <w:t> </w:t>
      </w:r>
      <w:r>
        <w:rPr/>
        <w:t>Tenants</w:t>
      </w:r>
      <w:r>
        <w:rPr>
          <w:spacing w:val="-3"/>
        </w:rPr>
        <w:t> </w:t>
      </w:r>
      <w:r>
        <w:rPr/>
        <w:t>in</w:t>
      </w:r>
      <w:r>
        <w:rPr>
          <w:spacing w:val="-4"/>
        </w:rPr>
        <w:t> </w:t>
      </w:r>
      <w:r>
        <w:rPr/>
        <w:t>LIHTC</w:t>
      </w:r>
      <w:r>
        <w:rPr>
          <w:spacing w:val="-4"/>
        </w:rPr>
        <w:t> </w:t>
      </w:r>
      <w:r>
        <w:rPr/>
        <w:t>Properties;</w:t>
      </w:r>
      <w:r>
        <w:rPr>
          <w:spacing w:val="-5"/>
        </w:rPr>
        <w:t> </w:t>
      </w:r>
      <w:r>
        <w:rPr/>
        <w:t>OMB</w:t>
      </w:r>
      <w:r>
        <w:rPr>
          <w:spacing w:val="-4"/>
        </w:rPr>
        <w:t> </w:t>
      </w:r>
      <w:r>
        <w:rPr/>
        <w:t>Control No.:2528- 0230” (FR-7103-N-02). The undersigned are co-chairs of the Consortium for Constituents with Disabilities (CCD) Housing Task Force. CCD is the largest coalition of national organizations working together to advocate for federal public policy that ensures the self-determination, independence, empowerment, integration, and inclusion of children and adults with disabilities in all aspects of a society free from racism, ableism, sexism, and xenophobia, as well as LGBTQ+ discrimination and religious intolerance. The Housing Task Force works to ensure that all people with disabilities have safe, stable, accessible, affordable, and integrated housing that enables people to live in communities of their choosing, with full access to home and community-based services and supports.</w:t>
      </w:r>
    </w:p>
    <w:p>
      <w:pPr>
        <w:pStyle w:val="BodyText"/>
        <w:spacing w:before="1"/>
      </w:pPr>
    </w:p>
    <w:p>
      <w:pPr>
        <w:pStyle w:val="Heading1"/>
        <w:numPr>
          <w:ilvl w:val="0"/>
          <w:numId w:val="1"/>
        </w:numPr>
        <w:tabs>
          <w:tab w:pos="577" w:val="left" w:leader="none"/>
          <w:tab w:pos="580" w:val="left" w:leader="none"/>
        </w:tabs>
        <w:spacing w:line="240" w:lineRule="auto" w:before="0" w:after="0"/>
        <w:ind w:left="580" w:right="388" w:hanging="361"/>
        <w:jc w:val="left"/>
      </w:pPr>
      <w:r>
        <w:rPr/>
        <w:t>Whether</w:t>
      </w:r>
      <w:r>
        <w:rPr>
          <w:spacing w:val="-4"/>
        </w:rPr>
        <w:t> </w:t>
      </w:r>
      <w:r>
        <w:rPr/>
        <w:t>the</w:t>
      </w:r>
      <w:r>
        <w:rPr>
          <w:spacing w:val="-5"/>
        </w:rPr>
        <w:t> </w:t>
      </w:r>
      <w:r>
        <w:rPr/>
        <w:t>proposed</w:t>
      </w:r>
      <w:r>
        <w:rPr>
          <w:spacing w:val="-6"/>
        </w:rPr>
        <w:t> </w:t>
      </w:r>
      <w:r>
        <w:rPr/>
        <w:t>collection</w:t>
      </w:r>
      <w:r>
        <w:rPr>
          <w:spacing w:val="-5"/>
        </w:rPr>
        <w:t> </w:t>
      </w:r>
      <w:r>
        <w:rPr/>
        <w:t>of</w:t>
      </w:r>
      <w:r>
        <w:rPr>
          <w:spacing w:val="-3"/>
        </w:rPr>
        <w:t> </w:t>
      </w:r>
      <w:r>
        <w:rPr/>
        <w:t>information</w:t>
      </w:r>
      <w:r>
        <w:rPr>
          <w:spacing w:val="-2"/>
        </w:rPr>
        <w:t> </w:t>
      </w:r>
      <w:r>
        <w:rPr/>
        <w:t>is</w:t>
      </w:r>
      <w:r>
        <w:rPr>
          <w:spacing w:val="-4"/>
        </w:rPr>
        <w:t> </w:t>
      </w:r>
      <w:r>
        <w:rPr/>
        <w:t>necessary</w:t>
      </w:r>
      <w:r>
        <w:rPr>
          <w:spacing w:val="-6"/>
        </w:rPr>
        <w:t> </w:t>
      </w:r>
      <w:r>
        <w:rPr/>
        <w:t>for</w:t>
      </w:r>
      <w:r>
        <w:rPr>
          <w:spacing w:val="-1"/>
        </w:rPr>
        <w:t> </w:t>
      </w:r>
      <w:r>
        <w:rPr/>
        <w:t>the</w:t>
      </w:r>
      <w:r>
        <w:rPr>
          <w:spacing w:val="-6"/>
        </w:rPr>
        <w:t> </w:t>
      </w:r>
      <w:r>
        <w:rPr/>
        <w:t>proper</w:t>
      </w:r>
      <w:r>
        <w:rPr>
          <w:spacing w:val="-1"/>
        </w:rPr>
        <w:t> </w:t>
      </w:r>
      <w:r>
        <w:rPr/>
        <w:t>performance</w:t>
      </w:r>
      <w:r>
        <w:rPr>
          <w:spacing w:val="-2"/>
        </w:rPr>
        <w:t> </w:t>
      </w:r>
      <w:r>
        <w:rPr/>
        <w:t>of the functions of the agency, including whether the information will have practical utility</w:t>
      </w:r>
    </w:p>
    <w:p>
      <w:pPr>
        <w:pStyle w:val="BodyText"/>
        <w:spacing w:before="2"/>
        <w:rPr>
          <w:b/>
        </w:rPr>
      </w:pPr>
    </w:p>
    <w:p>
      <w:pPr>
        <w:pStyle w:val="BodyText"/>
        <w:spacing w:line="237" w:lineRule="auto"/>
        <w:ind w:left="220" w:right="112"/>
      </w:pPr>
      <w:r>
        <w:rPr/>
        <w:t>People with disabilities and their families, particularly those with low incomes,</w:t>
      </w:r>
      <w:r>
        <w:rPr>
          <w:spacing w:val="40"/>
        </w:rPr>
        <w:t> </w:t>
      </w:r>
      <w:r>
        <w:rPr/>
        <w:t>face a national shortage</w:t>
      </w:r>
      <w:r>
        <w:rPr/>
        <w:t> of accessible</w:t>
      </w:r>
      <w:r>
        <w:rPr>
          <w:spacing w:val="-6"/>
        </w:rPr>
        <w:t> </w:t>
      </w:r>
      <w:r>
        <w:rPr/>
        <w:t>and</w:t>
      </w:r>
      <w:r>
        <w:rPr>
          <w:spacing w:val="-7"/>
        </w:rPr>
        <w:t> </w:t>
      </w:r>
      <w:r>
        <w:rPr/>
        <w:t>affordable</w:t>
      </w:r>
      <w:r>
        <w:rPr>
          <w:spacing w:val="-5"/>
        </w:rPr>
        <w:t> </w:t>
      </w:r>
      <w:r>
        <w:rPr/>
        <w:t>housing.</w:t>
      </w:r>
      <w:r>
        <w:rPr>
          <w:vertAlign w:val="superscript"/>
        </w:rPr>
        <w:t>1</w:t>
      </w:r>
      <w:r>
        <w:rPr>
          <w:spacing w:val="14"/>
          <w:vertAlign w:val="baseline"/>
        </w:rPr>
        <w:t> </w:t>
      </w:r>
      <w:r>
        <w:rPr>
          <w:vertAlign w:val="baseline"/>
        </w:rPr>
        <w:t>People</w:t>
      </w:r>
      <w:r>
        <w:rPr>
          <w:spacing w:val="-8"/>
          <w:vertAlign w:val="baseline"/>
        </w:rPr>
        <w:t> </w:t>
      </w:r>
      <w:r>
        <w:rPr>
          <w:vertAlign w:val="baseline"/>
        </w:rPr>
        <w:t>with</w:t>
      </w:r>
      <w:r>
        <w:rPr>
          <w:spacing w:val="-5"/>
          <w:vertAlign w:val="baseline"/>
        </w:rPr>
        <w:t> </w:t>
      </w:r>
      <w:r>
        <w:rPr>
          <w:vertAlign w:val="baseline"/>
        </w:rPr>
        <w:t>disabilities</w:t>
      </w:r>
      <w:r>
        <w:rPr>
          <w:spacing w:val="-5"/>
          <w:vertAlign w:val="baseline"/>
        </w:rPr>
        <w:t> </w:t>
      </w:r>
      <w:r>
        <w:rPr>
          <w:vertAlign w:val="baseline"/>
        </w:rPr>
        <w:t>often</w:t>
      </w:r>
      <w:r>
        <w:rPr>
          <w:spacing w:val="-10"/>
          <w:vertAlign w:val="baseline"/>
        </w:rPr>
        <w:t> </w:t>
      </w:r>
      <w:r>
        <w:rPr>
          <w:vertAlign w:val="baseline"/>
        </w:rPr>
        <w:t>have</w:t>
      </w:r>
      <w:r>
        <w:rPr>
          <w:spacing w:val="-10"/>
          <w:vertAlign w:val="baseline"/>
        </w:rPr>
        <w:t> </w:t>
      </w:r>
      <w:r>
        <w:rPr>
          <w:vertAlign w:val="baseline"/>
        </w:rPr>
        <w:t>few</w:t>
      </w:r>
      <w:r>
        <w:rPr>
          <w:spacing w:val="-12"/>
          <w:vertAlign w:val="baseline"/>
        </w:rPr>
        <w:t> </w:t>
      </w:r>
      <w:r>
        <w:rPr>
          <w:vertAlign w:val="baseline"/>
        </w:rPr>
        <w:t>financial</w:t>
      </w:r>
      <w:r>
        <w:rPr>
          <w:spacing w:val="-5"/>
          <w:vertAlign w:val="baseline"/>
        </w:rPr>
        <w:t> </w:t>
      </w:r>
      <w:r>
        <w:rPr>
          <w:vertAlign w:val="baseline"/>
        </w:rPr>
        <w:t>resources,</w:t>
      </w:r>
      <w:r>
        <w:rPr>
          <w:spacing w:val="-5"/>
          <w:vertAlign w:val="baseline"/>
        </w:rPr>
        <w:t> </w:t>
      </w:r>
      <w:r>
        <w:rPr>
          <w:vertAlign w:val="baseline"/>
        </w:rPr>
        <w:t>remain among the country’s lowest-income households, and far too frequently encounter discrimination when trying to</w:t>
      </w:r>
      <w:r>
        <w:rPr>
          <w:spacing w:val="-3"/>
          <w:vertAlign w:val="baseline"/>
        </w:rPr>
        <w:t> </w:t>
      </w:r>
      <w:r>
        <w:rPr>
          <w:vertAlign w:val="baseline"/>
        </w:rPr>
        <w:t>seek</w:t>
      </w:r>
      <w:r>
        <w:rPr>
          <w:spacing w:val="-3"/>
          <w:vertAlign w:val="baseline"/>
        </w:rPr>
        <w:t> </w:t>
      </w:r>
      <w:r>
        <w:rPr>
          <w:vertAlign w:val="baseline"/>
        </w:rPr>
        <w:t>or</w:t>
      </w:r>
      <w:r>
        <w:rPr>
          <w:spacing w:val="-7"/>
          <w:vertAlign w:val="baseline"/>
        </w:rPr>
        <w:t> </w:t>
      </w:r>
      <w:r>
        <w:rPr>
          <w:vertAlign w:val="baseline"/>
        </w:rPr>
        <w:t>maintain housing.</w:t>
      </w:r>
      <w:r>
        <w:rPr>
          <w:vertAlign w:val="superscript"/>
        </w:rPr>
        <w:t>2</w:t>
      </w:r>
      <w:r>
        <w:rPr>
          <w:spacing w:val="40"/>
          <w:vertAlign w:val="baseline"/>
        </w:rPr>
        <w:t> </w:t>
      </w:r>
      <w:r>
        <w:rPr>
          <w:vertAlign w:val="baseline"/>
        </w:rPr>
        <w:t>The</w:t>
      </w:r>
      <w:r>
        <w:rPr>
          <w:spacing w:val="-3"/>
          <w:vertAlign w:val="baseline"/>
        </w:rPr>
        <w:t> </w:t>
      </w:r>
      <w:r>
        <w:rPr>
          <w:vertAlign w:val="baseline"/>
        </w:rPr>
        <w:t>LIHTC</w:t>
      </w:r>
      <w:r>
        <w:rPr>
          <w:spacing w:val="-5"/>
          <w:vertAlign w:val="baseline"/>
        </w:rPr>
        <w:t> </w:t>
      </w:r>
      <w:r>
        <w:rPr>
          <w:vertAlign w:val="baseline"/>
        </w:rPr>
        <w:t>program,</w:t>
      </w:r>
      <w:r>
        <w:rPr>
          <w:spacing w:val="-2"/>
          <w:vertAlign w:val="baseline"/>
        </w:rPr>
        <w:t> </w:t>
      </w:r>
      <w:r>
        <w:rPr>
          <w:vertAlign w:val="baseline"/>
        </w:rPr>
        <w:t>including</w:t>
      </w:r>
      <w:r>
        <w:rPr>
          <w:spacing w:val="-1"/>
          <w:vertAlign w:val="baseline"/>
        </w:rPr>
        <w:t> </w:t>
      </w:r>
      <w:r>
        <w:rPr>
          <w:vertAlign w:val="baseline"/>
        </w:rPr>
        <w:t>but</w:t>
      </w:r>
      <w:r>
        <w:rPr>
          <w:spacing w:val="-2"/>
          <w:vertAlign w:val="baseline"/>
        </w:rPr>
        <w:t> </w:t>
      </w:r>
      <w:r>
        <w:rPr>
          <w:vertAlign w:val="baseline"/>
        </w:rPr>
        <w:t>not</w:t>
      </w:r>
      <w:r>
        <w:rPr>
          <w:spacing w:val="-2"/>
          <w:vertAlign w:val="baseline"/>
        </w:rPr>
        <w:t> </w:t>
      </w:r>
      <w:r>
        <w:rPr>
          <w:vertAlign w:val="baseline"/>
        </w:rPr>
        <w:t>limited</w:t>
      </w:r>
      <w:r>
        <w:rPr>
          <w:spacing w:val="-3"/>
          <w:vertAlign w:val="baseline"/>
        </w:rPr>
        <w:t> </w:t>
      </w:r>
      <w:r>
        <w:rPr>
          <w:vertAlign w:val="baseline"/>
        </w:rPr>
        <w:t>to</w:t>
      </w:r>
      <w:r>
        <w:rPr>
          <w:spacing w:val="-3"/>
          <w:vertAlign w:val="baseline"/>
        </w:rPr>
        <w:t> </w:t>
      </w:r>
      <w:r>
        <w:rPr>
          <w:vertAlign w:val="baseline"/>
        </w:rPr>
        <w:t>properties</w:t>
      </w:r>
      <w:r>
        <w:rPr>
          <w:spacing w:val="-3"/>
          <w:vertAlign w:val="baseline"/>
        </w:rPr>
        <w:t> </w:t>
      </w:r>
      <w:r>
        <w:rPr>
          <w:vertAlign w:val="baseline"/>
        </w:rPr>
        <w:t>that receive</w:t>
      </w:r>
      <w:r>
        <w:rPr>
          <w:spacing w:val="-7"/>
          <w:vertAlign w:val="baseline"/>
        </w:rPr>
        <w:t> </w:t>
      </w:r>
      <w:r>
        <w:rPr>
          <w:vertAlign w:val="baseline"/>
        </w:rPr>
        <w:t>Section</w:t>
      </w:r>
      <w:r>
        <w:rPr>
          <w:spacing w:val="-6"/>
          <w:vertAlign w:val="baseline"/>
        </w:rPr>
        <w:t> </w:t>
      </w:r>
      <w:r>
        <w:rPr>
          <w:vertAlign w:val="baseline"/>
        </w:rPr>
        <w:t>811</w:t>
      </w:r>
      <w:r>
        <w:rPr>
          <w:spacing w:val="-7"/>
          <w:vertAlign w:val="baseline"/>
        </w:rPr>
        <w:t> </w:t>
      </w:r>
      <w:r>
        <w:rPr>
          <w:vertAlign w:val="baseline"/>
        </w:rPr>
        <w:t>project</w:t>
      </w:r>
      <w:r>
        <w:rPr>
          <w:spacing w:val="-6"/>
          <w:vertAlign w:val="baseline"/>
        </w:rPr>
        <w:t> </w:t>
      </w:r>
      <w:r>
        <w:rPr>
          <w:vertAlign w:val="baseline"/>
        </w:rPr>
        <w:t>based</w:t>
      </w:r>
      <w:r>
        <w:rPr>
          <w:spacing w:val="-7"/>
          <w:vertAlign w:val="baseline"/>
        </w:rPr>
        <w:t> </w:t>
      </w:r>
      <w:r>
        <w:rPr>
          <w:vertAlign w:val="baseline"/>
        </w:rPr>
        <w:t>rental</w:t>
      </w:r>
      <w:r>
        <w:rPr>
          <w:spacing w:val="-8"/>
          <w:vertAlign w:val="baseline"/>
        </w:rPr>
        <w:t> </w:t>
      </w:r>
      <w:r>
        <w:rPr>
          <w:vertAlign w:val="baseline"/>
        </w:rPr>
        <w:t>assistance,</w:t>
      </w:r>
      <w:r>
        <w:rPr>
          <w:spacing w:val="-6"/>
          <w:vertAlign w:val="baseline"/>
        </w:rPr>
        <w:t> </w:t>
      </w:r>
      <w:r>
        <w:rPr>
          <w:vertAlign w:val="baseline"/>
        </w:rPr>
        <w:t>provide</w:t>
      </w:r>
      <w:r>
        <w:rPr>
          <w:spacing w:val="-7"/>
          <w:vertAlign w:val="baseline"/>
        </w:rPr>
        <w:t> </w:t>
      </w:r>
      <w:r>
        <w:rPr>
          <w:vertAlign w:val="baseline"/>
        </w:rPr>
        <w:t>a</w:t>
      </w:r>
      <w:r>
        <w:rPr>
          <w:spacing w:val="-7"/>
          <w:vertAlign w:val="baseline"/>
        </w:rPr>
        <w:t> </w:t>
      </w:r>
      <w:r>
        <w:rPr>
          <w:vertAlign w:val="baseline"/>
        </w:rPr>
        <w:t>critical</w:t>
      </w:r>
      <w:r>
        <w:rPr>
          <w:spacing w:val="-8"/>
          <w:vertAlign w:val="baseline"/>
        </w:rPr>
        <w:t> </w:t>
      </w:r>
      <w:r>
        <w:rPr>
          <w:vertAlign w:val="baseline"/>
        </w:rPr>
        <w:t>source</w:t>
      </w:r>
      <w:r>
        <w:rPr>
          <w:spacing w:val="-7"/>
          <w:vertAlign w:val="baseline"/>
        </w:rPr>
        <w:t> </w:t>
      </w:r>
      <w:r>
        <w:rPr>
          <w:vertAlign w:val="baseline"/>
        </w:rPr>
        <w:t>of</w:t>
      </w:r>
      <w:r>
        <w:rPr>
          <w:spacing w:val="-6"/>
          <w:vertAlign w:val="baseline"/>
        </w:rPr>
        <w:t> </w:t>
      </w:r>
      <w:r>
        <w:rPr>
          <w:vertAlign w:val="baseline"/>
        </w:rPr>
        <w:t>affordable,</w:t>
      </w:r>
      <w:r>
        <w:rPr>
          <w:spacing w:val="-6"/>
          <w:vertAlign w:val="baseline"/>
        </w:rPr>
        <w:t> </w:t>
      </w:r>
      <w:r>
        <w:rPr>
          <w:vertAlign w:val="baseline"/>
        </w:rPr>
        <w:t>accessible housing.</w:t>
      </w:r>
      <w:r>
        <w:rPr>
          <w:spacing w:val="-5"/>
          <w:vertAlign w:val="baseline"/>
        </w:rPr>
        <w:t> </w:t>
      </w:r>
      <w:r>
        <w:rPr>
          <w:vertAlign w:val="baseline"/>
        </w:rPr>
        <w:t>CCD</w:t>
      </w:r>
      <w:r>
        <w:rPr>
          <w:spacing w:val="-7"/>
          <w:vertAlign w:val="baseline"/>
        </w:rPr>
        <w:t> </w:t>
      </w:r>
      <w:r>
        <w:rPr>
          <w:vertAlign w:val="baseline"/>
        </w:rPr>
        <w:t>notes</w:t>
      </w:r>
      <w:r>
        <w:rPr>
          <w:spacing w:val="-6"/>
          <w:vertAlign w:val="baseline"/>
        </w:rPr>
        <w:t> </w:t>
      </w:r>
      <w:r>
        <w:rPr>
          <w:vertAlign w:val="baseline"/>
        </w:rPr>
        <w:t>that</w:t>
      </w:r>
      <w:r>
        <w:rPr>
          <w:spacing w:val="-7"/>
          <w:vertAlign w:val="baseline"/>
        </w:rPr>
        <w:t> </w:t>
      </w:r>
      <w:r>
        <w:rPr>
          <w:vertAlign w:val="baseline"/>
        </w:rPr>
        <w:t>LIHTC</w:t>
      </w:r>
      <w:r>
        <w:rPr>
          <w:spacing w:val="-8"/>
          <w:vertAlign w:val="baseline"/>
        </w:rPr>
        <w:t> </w:t>
      </w:r>
      <w:r>
        <w:rPr>
          <w:vertAlign w:val="baseline"/>
        </w:rPr>
        <w:t>requirements</w:t>
      </w:r>
      <w:r>
        <w:rPr>
          <w:spacing w:val="-6"/>
          <w:vertAlign w:val="baseline"/>
        </w:rPr>
        <w:t> </w:t>
      </w:r>
      <w:r>
        <w:rPr>
          <w:vertAlign w:val="baseline"/>
        </w:rPr>
        <w:t>promote</w:t>
      </w:r>
      <w:r>
        <w:rPr>
          <w:spacing w:val="-6"/>
          <w:vertAlign w:val="baseline"/>
        </w:rPr>
        <w:t> </w:t>
      </w:r>
      <w:r>
        <w:rPr>
          <w:vertAlign w:val="baseline"/>
        </w:rPr>
        <w:t>new</w:t>
      </w:r>
      <w:r>
        <w:rPr>
          <w:spacing w:val="-9"/>
          <w:vertAlign w:val="baseline"/>
        </w:rPr>
        <w:t> </w:t>
      </w:r>
      <w:r>
        <w:rPr>
          <w:vertAlign w:val="baseline"/>
        </w:rPr>
        <w:t>construction</w:t>
      </w:r>
      <w:r>
        <w:rPr>
          <w:spacing w:val="-6"/>
          <w:vertAlign w:val="baseline"/>
        </w:rPr>
        <w:t> </w:t>
      </w:r>
      <w:r>
        <w:rPr>
          <w:vertAlign w:val="baseline"/>
        </w:rPr>
        <w:t>and</w:t>
      </w:r>
      <w:r>
        <w:rPr>
          <w:spacing w:val="-6"/>
          <w:vertAlign w:val="baseline"/>
        </w:rPr>
        <w:t> </w:t>
      </w:r>
      <w:r>
        <w:rPr>
          <w:vertAlign w:val="baseline"/>
        </w:rPr>
        <w:t>substantial</w:t>
      </w:r>
      <w:r>
        <w:rPr>
          <w:spacing w:val="-7"/>
          <w:vertAlign w:val="baseline"/>
        </w:rPr>
        <w:t> </w:t>
      </w:r>
      <w:r>
        <w:rPr>
          <w:vertAlign w:val="baseline"/>
        </w:rPr>
        <w:t>rehabilitation, making</w:t>
      </w:r>
      <w:r>
        <w:rPr>
          <w:spacing w:val="-6"/>
          <w:vertAlign w:val="baseline"/>
        </w:rPr>
        <w:t> </w:t>
      </w:r>
      <w:r>
        <w:rPr>
          <w:vertAlign w:val="baseline"/>
        </w:rPr>
        <w:t>this</w:t>
      </w:r>
      <w:r>
        <w:rPr>
          <w:spacing w:val="-6"/>
          <w:vertAlign w:val="baseline"/>
        </w:rPr>
        <w:t> </w:t>
      </w:r>
      <w:r>
        <w:rPr>
          <w:vertAlign w:val="baseline"/>
        </w:rPr>
        <w:t>one</w:t>
      </w:r>
      <w:r>
        <w:rPr>
          <w:spacing w:val="-6"/>
          <w:vertAlign w:val="baseline"/>
        </w:rPr>
        <w:t> </w:t>
      </w:r>
      <w:r>
        <w:rPr>
          <w:vertAlign w:val="baseline"/>
        </w:rPr>
        <w:t>of</w:t>
      </w:r>
      <w:r>
        <w:rPr>
          <w:spacing w:val="-5"/>
          <w:vertAlign w:val="baseline"/>
        </w:rPr>
        <w:t> </w:t>
      </w:r>
      <w:r>
        <w:rPr>
          <w:vertAlign w:val="baseline"/>
        </w:rPr>
        <w:t>the</w:t>
      </w:r>
      <w:r>
        <w:rPr>
          <w:spacing w:val="-9"/>
          <w:vertAlign w:val="baseline"/>
        </w:rPr>
        <w:t> </w:t>
      </w:r>
      <w:r>
        <w:rPr>
          <w:vertAlign w:val="baseline"/>
        </w:rPr>
        <w:t>few</w:t>
      </w:r>
      <w:r>
        <w:rPr>
          <w:spacing w:val="-9"/>
          <w:vertAlign w:val="baseline"/>
        </w:rPr>
        <w:t> </w:t>
      </w:r>
      <w:r>
        <w:rPr>
          <w:vertAlign w:val="baseline"/>
        </w:rPr>
        <w:t>reliable</w:t>
      </w:r>
      <w:r>
        <w:rPr>
          <w:spacing w:val="-6"/>
          <w:vertAlign w:val="baseline"/>
        </w:rPr>
        <w:t> </w:t>
      </w:r>
      <w:r>
        <w:rPr>
          <w:vertAlign w:val="baseline"/>
        </w:rPr>
        <w:t>sources</w:t>
      </w:r>
      <w:r>
        <w:rPr>
          <w:spacing w:val="-6"/>
          <w:vertAlign w:val="baseline"/>
        </w:rPr>
        <w:t> </w:t>
      </w:r>
      <w:r>
        <w:rPr>
          <w:vertAlign w:val="baseline"/>
        </w:rPr>
        <w:t>of</w:t>
      </w:r>
      <w:r>
        <w:rPr>
          <w:spacing w:val="-3"/>
          <w:vertAlign w:val="baseline"/>
        </w:rPr>
        <w:t> </w:t>
      </w:r>
      <w:r>
        <w:rPr>
          <w:vertAlign w:val="baseline"/>
        </w:rPr>
        <w:t>accessible</w:t>
      </w:r>
      <w:r>
        <w:rPr>
          <w:spacing w:val="-6"/>
          <w:vertAlign w:val="baseline"/>
        </w:rPr>
        <w:t> </w:t>
      </w:r>
      <w:r>
        <w:rPr>
          <w:vertAlign w:val="baseline"/>
        </w:rPr>
        <w:t>housing</w:t>
      </w:r>
      <w:r>
        <w:rPr>
          <w:spacing w:val="-1"/>
          <w:vertAlign w:val="baseline"/>
        </w:rPr>
        <w:t> </w:t>
      </w:r>
      <w:r>
        <w:rPr>
          <w:vertAlign w:val="baseline"/>
        </w:rPr>
        <w:t>constructed</w:t>
      </w:r>
      <w:r>
        <w:rPr>
          <w:spacing w:val="-6"/>
          <w:vertAlign w:val="baseline"/>
        </w:rPr>
        <w:t> </w:t>
      </w:r>
      <w:r>
        <w:rPr>
          <w:vertAlign w:val="baseline"/>
        </w:rPr>
        <w:t>under</w:t>
      </w:r>
      <w:r>
        <w:rPr>
          <w:spacing w:val="-5"/>
          <w:vertAlign w:val="baseline"/>
        </w:rPr>
        <w:t> </w:t>
      </w:r>
      <w:r>
        <w:rPr>
          <w:vertAlign w:val="baseline"/>
        </w:rPr>
        <w:t>federal</w:t>
      </w:r>
      <w:r>
        <w:rPr>
          <w:spacing w:val="-9"/>
          <w:vertAlign w:val="baseline"/>
        </w:rPr>
        <w:t> </w:t>
      </w:r>
      <w:r>
        <w:rPr>
          <w:vertAlign w:val="baseline"/>
        </w:rPr>
        <w:t>fair</w:t>
      </w:r>
      <w:r>
        <w:rPr>
          <w:spacing w:val="-5"/>
          <w:vertAlign w:val="baseline"/>
        </w:rPr>
        <w:t> </w:t>
      </w:r>
      <w:r>
        <w:rPr>
          <w:vertAlign w:val="baseline"/>
        </w:rPr>
        <w:t>housing requirements.</w:t>
      </w:r>
      <w:r>
        <w:rPr>
          <w:spacing w:val="-16"/>
          <w:vertAlign w:val="baseline"/>
        </w:rPr>
        <w:t> </w:t>
      </w:r>
      <w:r>
        <w:rPr>
          <w:vertAlign w:val="baseline"/>
        </w:rPr>
        <w:t>Collecting</w:t>
      </w:r>
      <w:r>
        <w:rPr>
          <w:spacing w:val="-15"/>
          <w:vertAlign w:val="baseline"/>
        </w:rPr>
        <w:t> </w:t>
      </w:r>
      <w:r>
        <w:rPr>
          <w:vertAlign w:val="baseline"/>
        </w:rPr>
        <w:t>data</w:t>
      </w:r>
      <w:r>
        <w:rPr>
          <w:spacing w:val="-15"/>
          <w:vertAlign w:val="baseline"/>
        </w:rPr>
        <w:t> </w:t>
      </w:r>
      <w:r>
        <w:rPr>
          <w:vertAlign w:val="baseline"/>
        </w:rPr>
        <w:t>on</w:t>
      </w:r>
      <w:r>
        <w:rPr>
          <w:spacing w:val="-16"/>
          <w:vertAlign w:val="baseline"/>
        </w:rPr>
        <w:t> </w:t>
      </w:r>
      <w:r>
        <w:rPr>
          <w:vertAlign w:val="baseline"/>
        </w:rPr>
        <w:t>utilization</w:t>
      </w:r>
      <w:r>
        <w:rPr>
          <w:spacing w:val="-15"/>
          <w:vertAlign w:val="baseline"/>
        </w:rPr>
        <w:t> </w:t>
      </w:r>
      <w:r>
        <w:rPr>
          <w:vertAlign w:val="baseline"/>
        </w:rPr>
        <w:t>by</w:t>
      </w:r>
      <w:r>
        <w:rPr>
          <w:spacing w:val="-15"/>
          <w:vertAlign w:val="baseline"/>
        </w:rPr>
        <w:t> </w:t>
      </w:r>
      <w:r>
        <w:rPr>
          <w:vertAlign w:val="baseline"/>
        </w:rPr>
        <w:t>people</w:t>
      </w:r>
      <w:r>
        <w:rPr>
          <w:spacing w:val="-14"/>
          <w:vertAlign w:val="baseline"/>
        </w:rPr>
        <w:t> </w:t>
      </w:r>
      <w:r>
        <w:rPr>
          <w:vertAlign w:val="baseline"/>
        </w:rPr>
        <w:t>with</w:t>
      </w:r>
      <w:r>
        <w:rPr>
          <w:spacing w:val="-15"/>
          <w:vertAlign w:val="baseline"/>
        </w:rPr>
        <w:t> </w:t>
      </w:r>
      <w:r>
        <w:rPr>
          <w:vertAlign w:val="baseline"/>
        </w:rPr>
        <w:t>disabilities</w:t>
      </w:r>
      <w:r>
        <w:rPr>
          <w:spacing w:val="-15"/>
          <w:vertAlign w:val="baseline"/>
        </w:rPr>
        <w:t> </w:t>
      </w:r>
      <w:r>
        <w:rPr>
          <w:vertAlign w:val="baseline"/>
        </w:rPr>
        <w:t>is</w:t>
      </w:r>
      <w:r>
        <w:rPr>
          <w:spacing w:val="-15"/>
          <w:vertAlign w:val="baseline"/>
        </w:rPr>
        <w:t> </w:t>
      </w:r>
      <w:r>
        <w:rPr>
          <w:vertAlign w:val="baseline"/>
        </w:rPr>
        <w:t>critical</w:t>
      </w:r>
      <w:r>
        <w:rPr>
          <w:spacing w:val="-16"/>
          <w:vertAlign w:val="baseline"/>
        </w:rPr>
        <w:t> </w:t>
      </w:r>
      <w:r>
        <w:rPr>
          <w:vertAlign w:val="baseline"/>
        </w:rPr>
        <w:t>to</w:t>
      </w:r>
      <w:r>
        <w:rPr>
          <w:spacing w:val="-15"/>
          <w:vertAlign w:val="baseline"/>
        </w:rPr>
        <w:t> </w:t>
      </w:r>
      <w:r>
        <w:rPr>
          <w:vertAlign w:val="baseline"/>
        </w:rPr>
        <w:t>ensuring</w:t>
      </w:r>
      <w:r>
        <w:rPr>
          <w:spacing w:val="-13"/>
          <w:vertAlign w:val="baseline"/>
        </w:rPr>
        <w:t> </w:t>
      </w:r>
      <w:r>
        <w:rPr>
          <w:vertAlign w:val="baseline"/>
        </w:rPr>
        <w:t>equal</w:t>
      </w:r>
      <w:r>
        <w:rPr>
          <w:spacing w:val="-16"/>
          <w:vertAlign w:val="baseline"/>
        </w:rPr>
        <w:t> </w:t>
      </w:r>
      <w:r>
        <w:rPr>
          <w:vertAlign w:val="baseline"/>
        </w:rPr>
        <w:t>access</w:t>
      </w:r>
      <w:r>
        <w:rPr>
          <w:spacing w:val="-15"/>
          <w:vertAlign w:val="baseline"/>
        </w:rPr>
        <w:t> </w:t>
      </w:r>
      <w:r>
        <w:rPr>
          <w:vertAlign w:val="baseline"/>
        </w:rPr>
        <w:t>to this important resource.</w:t>
      </w:r>
    </w:p>
    <w:p>
      <w:pPr>
        <w:pStyle w:val="BodyText"/>
        <w:rPr>
          <w:sz w:val="20"/>
        </w:rPr>
      </w:pPr>
      <w:r>
        <w:rPr/>
        <mc:AlternateContent>
          <mc:Choice Requires="wps">
            <w:drawing>
              <wp:anchor distT="0" distB="0" distL="0" distR="0" allowOverlap="1" layoutInCell="1" locked="0" behindDoc="1" simplePos="0" relativeHeight="487587840">
                <wp:simplePos x="0" y="0"/>
                <wp:positionH relativeFrom="page">
                  <wp:posOffset>621791</wp:posOffset>
                </wp:positionH>
                <wp:positionV relativeFrom="paragraph">
                  <wp:posOffset>161859</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12.744864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89"/>
        <w:ind w:left="119" w:right="363" w:firstLine="0"/>
        <w:jc w:val="left"/>
        <w:rPr>
          <w:sz w:val="18"/>
        </w:rPr>
      </w:pPr>
      <w:r>
        <w:rPr>
          <w:position w:val="6"/>
          <w:sz w:val="12"/>
        </w:rPr>
        <w:t>1</w:t>
      </w:r>
      <w:r>
        <w:rPr>
          <w:spacing w:val="15"/>
          <w:position w:val="6"/>
          <w:sz w:val="12"/>
        </w:rPr>
        <w:t> </w:t>
      </w:r>
      <w:r>
        <w:rPr>
          <w:sz w:val="18"/>
        </w:rPr>
        <w:t>See,</w:t>
      </w:r>
      <w:r>
        <w:rPr>
          <w:spacing w:val="-6"/>
          <w:sz w:val="18"/>
        </w:rPr>
        <w:t> </w:t>
      </w:r>
      <w:r>
        <w:rPr>
          <w:sz w:val="18"/>
        </w:rPr>
        <w:t>e.g.,</w:t>
      </w:r>
      <w:r>
        <w:rPr>
          <w:spacing w:val="-6"/>
          <w:sz w:val="18"/>
        </w:rPr>
        <w:t> </w:t>
      </w:r>
      <w:r>
        <w:rPr>
          <w:sz w:val="18"/>
        </w:rPr>
        <w:t>U.S.</w:t>
      </w:r>
      <w:r>
        <w:rPr>
          <w:spacing w:val="-7"/>
          <w:sz w:val="18"/>
        </w:rPr>
        <w:t> </w:t>
      </w:r>
      <w:r>
        <w:rPr>
          <w:sz w:val="18"/>
        </w:rPr>
        <w:t>Dept.</w:t>
      </w:r>
      <w:r>
        <w:rPr>
          <w:spacing w:val="-4"/>
          <w:sz w:val="18"/>
        </w:rPr>
        <w:t> </w:t>
      </w:r>
      <w:r>
        <w:rPr>
          <w:sz w:val="18"/>
        </w:rPr>
        <w:t>Of</w:t>
      </w:r>
      <w:r>
        <w:rPr>
          <w:spacing w:val="-4"/>
          <w:sz w:val="18"/>
        </w:rPr>
        <w:t> </w:t>
      </w:r>
      <w:r>
        <w:rPr>
          <w:sz w:val="18"/>
        </w:rPr>
        <w:t>Housing</w:t>
      </w:r>
      <w:r>
        <w:rPr>
          <w:spacing w:val="-3"/>
          <w:sz w:val="18"/>
        </w:rPr>
        <w:t> </w:t>
      </w:r>
      <w:r>
        <w:rPr>
          <w:sz w:val="18"/>
        </w:rPr>
        <w:t>and</w:t>
      </w:r>
      <w:r>
        <w:rPr>
          <w:spacing w:val="-5"/>
          <w:sz w:val="18"/>
        </w:rPr>
        <w:t> </w:t>
      </w:r>
      <w:r>
        <w:rPr>
          <w:sz w:val="18"/>
        </w:rPr>
        <w:t>Urban</w:t>
      </w:r>
      <w:r>
        <w:rPr>
          <w:spacing w:val="-6"/>
          <w:sz w:val="18"/>
        </w:rPr>
        <w:t> </w:t>
      </w:r>
      <w:r>
        <w:rPr>
          <w:sz w:val="18"/>
        </w:rPr>
        <w:t>Development,</w:t>
      </w:r>
      <w:r>
        <w:rPr>
          <w:spacing w:val="-5"/>
          <w:sz w:val="18"/>
        </w:rPr>
        <w:t> </w:t>
      </w:r>
      <w:r>
        <w:rPr>
          <w:sz w:val="18"/>
        </w:rPr>
        <w:t>“Worst</w:t>
      </w:r>
      <w:r>
        <w:rPr>
          <w:spacing w:val="-6"/>
          <w:sz w:val="18"/>
        </w:rPr>
        <w:t> </w:t>
      </w:r>
      <w:r>
        <w:rPr>
          <w:sz w:val="18"/>
        </w:rPr>
        <w:t>Case</w:t>
      </w:r>
      <w:r>
        <w:rPr>
          <w:spacing w:val="-3"/>
          <w:sz w:val="18"/>
        </w:rPr>
        <w:t> </w:t>
      </w:r>
      <w:r>
        <w:rPr>
          <w:sz w:val="18"/>
        </w:rPr>
        <w:t>Housing</w:t>
      </w:r>
      <w:r>
        <w:rPr>
          <w:spacing w:val="-6"/>
          <w:sz w:val="18"/>
        </w:rPr>
        <w:t> </w:t>
      </w:r>
      <w:r>
        <w:rPr>
          <w:sz w:val="18"/>
        </w:rPr>
        <w:t>Needs:</w:t>
      </w:r>
      <w:r>
        <w:rPr>
          <w:spacing w:val="-6"/>
          <w:sz w:val="18"/>
        </w:rPr>
        <w:t> </w:t>
      </w:r>
      <w:r>
        <w:rPr>
          <w:sz w:val="18"/>
        </w:rPr>
        <w:t>2023</w:t>
      </w:r>
      <w:r>
        <w:rPr>
          <w:spacing w:val="-6"/>
          <w:sz w:val="18"/>
        </w:rPr>
        <w:t> </w:t>
      </w:r>
      <w:r>
        <w:rPr>
          <w:sz w:val="18"/>
        </w:rPr>
        <w:t>Report</w:t>
      </w:r>
      <w:r>
        <w:rPr>
          <w:spacing w:val="-4"/>
          <w:sz w:val="18"/>
        </w:rPr>
        <w:t> </w:t>
      </w:r>
      <w:r>
        <w:rPr>
          <w:sz w:val="18"/>
        </w:rPr>
        <w:t>to</w:t>
      </w:r>
      <w:r>
        <w:rPr>
          <w:spacing w:val="-4"/>
          <w:sz w:val="18"/>
        </w:rPr>
        <w:t> </w:t>
      </w:r>
      <w:r>
        <w:rPr>
          <w:sz w:val="18"/>
        </w:rPr>
        <w:t>Congress”</w:t>
      </w:r>
      <w:r>
        <w:rPr>
          <w:spacing w:val="-2"/>
          <w:sz w:val="18"/>
        </w:rPr>
        <w:t> </w:t>
      </w:r>
      <w:r>
        <w:rPr>
          <w:sz w:val="18"/>
        </w:rPr>
        <w:t>(2023)</w:t>
      </w:r>
      <w:r>
        <w:rPr>
          <w:spacing w:val="-2"/>
          <w:sz w:val="18"/>
        </w:rPr>
        <w:t> </w:t>
      </w:r>
      <w:r>
        <w:rPr>
          <w:sz w:val="18"/>
        </w:rPr>
        <w:t>at </w:t>
      </w:r>
      <w:hyperlink r:id="rId7">
        <w:r>
          <w:rPr>
            <w:color w:val="0000FF"/>
            <w:spacing w:val="-2"/>
            <w:sz w:val="18"/>
            <w:u w:val="single" w:color="0000FF"/>
          </w:rPr>
          <w:t>https://www.huduser.gov/portal/publications/Worst-Case-Housing-Needs-2023.html</w:t>
        </w:r>
        <w:r>
          <w:rPr>
            <w:spacing w:val="-2"/>
            <w:sz w:val="18"/>
            <w:u w:val="none"/>
          </w:rPr>
          <w:t>.</w:t>
        </w:r>
      </w:hyperlink>
    </w:p>
    <w:p>
      <w:pPr>
        <w:pStyle w:val="BodyText"/>
        <w:spacing w:before="37"/>
        <w:rPr>
          <w:sz w:val="18"/>
        </w:rPr>
      </w:pPr>
    </w:p>
    <w:p>
      <w:pPr>
        <w:spacing w:before="0"/>
        <w:ind w:left="119" w:right="346" w:firstLine="0"/>
        <w:jc w:val="left"/>
        <w:rPr>
          <w:sz w:val="18"/>
        </w:rPr>
      </w:pPr>
      <w:r>
        <w:rPr>
          <w:position w:val="6"/>
          <w:sz w:val="12"/>
        </w:rPr>
        <w:t>2</w:t>
      </w:r>
      <w:r>
        <w:rPr>
          <w:spacing w:val="26"/>
          <w:position w:val="6"/>
          <w:sz w:val="12"/>
        </w:rPr>
        <w:t> </w:t>
      </w:r>
      <w:r>
        <w:rPr>
          <w:sz w:val="18"/>
        </w:rPr>
        <w:t>National Fair Housing Alliance, “2024 Fair Housing Trends Report” at </w:t>
      </w:r>
      <w:hyperlink r:id="rId8">
        <w:r>
          <w:rPr>
            <w:color w:val="0000FF"/>
            <w:sz w:val="18"/>
            <w:u w:val="single" w:color="0000FF"/>
          </w:rPr>
          <w:t>https://nationalfairhousing.org/resource/2024-fair-</w:t>
        </w:r>
      </w:hyperlink>
      <w:r>
        <w:rPr>
          <w:color w:val="0000FF"/>
          <w:sz w:val="18"/>
          <w:u w:val="none"/>
        </w:rPr>
        <w:t> </w:t>
      </w:r>
      <w:hyperlink r:id="rId8">
        <w:r>
          <w:rPr>
            <w:color w:val="0000FF"/>
            <w:sz w:val="18"/>
            <w:u w:val="single" w:color="0000FF"/>
          </w:rPr>
          <w:t>housing-trends-report</w:t>
        </w:r>
        <w:r>
          <w:rPr>
            <w:i/>
            <w:sz w:val="18"/>
            <w:u w:val="none"/>
          </w:rPr>
          <w:t>;</w:t>
        </w:r>
      </w:hyperlink>
      <w:r>
        <w:rPr>
          <w:i/>
          <w:sz w:val="18"/>
          <w:u w:val="none"/>
        </w:rPr>
        <w:t> </w:t>
      </w:r>
      <w:r>
        <w:rPr>
          <w:sz w:val="18"/>
          <w:u w:val="none"/>
        </w:rPr>
        <w:t>U.S.</w:t>
      </w:r>
      <w:r>
        <w:rPr>
          <w:spacing w:val="-1"/>
          <w:sz w:val="18"/>
          <w:u w:val="none"/>
        </w:rPr>
        <w:t> </w:t>
      </w:r>
      <w:r>
        <w:rPr>
          <w:sz w:val="18"/>
          <w:u w:val="none"/>
        </w:rPr>
        <w:t>Dept. of Housing and Urban Development, “Rental</w:t>
      </w:r>
      <w:r>
        <w:rPr>
          <w:spacing w:val="-4"/>
          <w:sz w:val="18"/>
          <w:u w:val="none"/>
        </w:rPr>
        <w:t> </w:t>
      </w:r>
      <w:r>
        <w:rPr>
          <w:sz w:val="18"/>
          <w:u w:val="none"/>
        </w:rPr>
        <w:t>Housing</w:t>
      </w:r>
      <w:r>
        <w:rPr>
          <w:spacing w:val="-4"/>
          <w:sz w:val="18"/>
          <w:u w:val="none"/>
        </w:rPr>
        <w:t> </w:t>
      </w:r>
      <w:r>
        <w:rPr>
          <w:sz w:val="18"/>
          <w:u w:val="none"/>
        </w:rPr>
        <w:t>Discrimination</w:t>
      </w:r>
      <w:r>
        <w:rPr>
          <w:spacing w:val="-1"/>
          <w:sz w:val="18"/>
          <w:u w:val="none"/>
        </w:rPr>
        <w:t> </w:t>
      </w:r>
      <w:r>
        <w:rPr>
          <w:sz w:val="18"/>
          <w:u w:val="none"/>
        </w:rPr>
        <w:t>on</w:t>
      </w:r>
      <w:r>
        <w:rPr>
          <w:spacing w:val="-2"/>
          <w:sz w:val="18"/>
          <w:u w:val="none"/>
        </w:rPr>
        <w:t> </w:t>
      </w:r>
      <w:r>
        <w:rPr>
          <w:sz w:val="18"/>
          <w:u w:val="none"/>
        </w:rPr>
        <w:t>the</w:t>
      </w:r>
      <w:r>
        <w:rPr>
          <w:spacing w:val="-2"/>
          <w:sz w:val="18"/>
          <w:u w:val="none"/>
        </w:rPr>
        <w:t> </w:t>
      </w:r>
      <w:r>
        <w:rPr>
          <w:sz w:val="18"/>
          <w:u w:val="none"/>
        </w:rPr>
        <w:t>Basis</w:t>
      </w:r>
      <w:r>
        <w:rPr>
          <w:spacing w:val="-1"/>
          <w:sz w:val="18"/>
          <w:u w:val="none"/>
        </w:rPr>
        <w:t> </w:t>
      </w:r>
      <w:r>
        <w:rPr>
          <w:sz w:val="18"/>
          <w:u w:val="none"/>
        </w:rPr>
        <w:t>of Mental Disabilities:</w:t>
      </w:r>
      <w:r>
        <w:rPr>
          <w:spacing w:val="-8"/>
          <w:sz w:val="18"/>
          <w:u w:val="none"/>
        </w:rPr>
        <w:t> </w:t>
      </w:r>
      <w:r>
        <w:rPr>
          <w:sz w:val="18"/>
          <w:u w:val="none"/>
        </w:rPr>
        <w:t>Results</w:t>
      </w:r>
      <w:r>
        <w:rPr>
          <w:spacing w:val="-6"/>
          <w:sz w:val="18"/>
          <w:u w:val="none"/>
        </w:rPr>
        <w:t> </w:t>
      </w:r>
      <w:r>
        <w:rPr>
          <w:sz w:val="18"/>
          <w:u w:val="none"/>
        </w:rPr>
        <w:t>of</w:t>
      </w:r>
      <w:r>
        <w:rPr>
          <w:spacing w:val="-10"/>
          <w:sz w:val="18"/>
          <w:u w:val="none"/>
        </w:rPr>
        <w:t> </w:t>
      </w:r>
      <w:r>
        <w:rPr>
          <w:sz w:val="18"/>
          <w:u w:val="none"/>
        </w:rPr>
        <w:t>Pilot</w:t>
      </w:r>
      <w:r>
        <w:rPr>
          <w:spacing w:val="-9"/>
          <w:sz w:val="18"/>
          <w:u w:val="none"/>
        </w:rPr>
        <w:t> </w:t>
      </w:r>
      <w:r>
        <w:rPr>
          <w:sz w:val="18"/>
          <w:u w:val="none"/>
        </w:rPr>
        <w:t>Testing,”</w:t>
      </w:r>
      <w:r>
        <w:rPr>
          <w:spacing w:val="-8"/>
          <w:sz w:val="18"/>
          <w:u w:val="none"/>
        </w:rPr>
        <w:t> </w:t>
      </w:r>
      <w:r>
        <w:rPr>
          <w:sz w:val="18"/>
          <w:u w:val="none"/>
        </w:rPr>
        <w:t>(2017)</w:t>
      </w:r>
      <w:r>
        <w:rPr>
          <w:spacing w:val="-6"/>
          <w:sz w:val="18"/>
          <w:u w:val="none"/>
        </w:rPr>
        <w:t> </w:t>
      </w:r>
      <w:r>
        <w:rPr>
          <w:sz w:val="18"/>
          <w:u w:val="none"/>
        </w:rPr>
        <w:t>at</w:t>
      </w:r>
      <w:r>
        <w:rPr>
          <w:spacing w:val="-7"/>
          <w:sz w:val="18"/>
          <w:u w:val="none"/>
        </w:rPr>
        <w:t> </w:t>
      </w:r>
      <w:hyperlink r:id="rId9">
        <w:r>
          <w:rPr>
            <w:color w:val="0000FF"/>
            <w:sz w:val="18"/>
            <w:u w:val="single" w:color="0000FF"/>
          </w:rPr>
          <w:t>https://www.huduser.gov/portal/publications/MentalDisabilities-FinalPaper.html</w:t>
        </w:r>
        <w:r>
          <w:rPr>
            <w:sz w:val="18"/>
            <w:u w:val="none"/>
          </w:rPr>
          <w:t>.</w:t>
        </w:r>
      </w:hyperlink>
    </w:p>
    <w:p>
      <w:pPr>
        <w:spacing w:after="0"/>
        <w:jc w:val="left"/>
        <w:rPr>
          <w:sz w:val="18"/>
        </w:rPr>
        <w:sectPr>
          <w:footerReference w:type="default" r:id="rId5"/>
          <w:type w:val="continuous"/>
          <w:pgSz w:w="12240" w:h="15840"/>
          <w:pgMar w:header="0" w:footer="1015" w:top="1360" w:bottom="1200" w:left="860" w:right="900"/>
          <w:pgNumType w:start="1"/>
        </w:sectPr>
      </w:pPr>
    </w:p>
    <w:p>
      <w:pPr>
        <w:pStyle w:val="Heading1"/>
        <w:numPr>
          <w:ilvl w:val="0"/>
          <w:numId w:val="1"/>
        </w:numPr>
        <w:tabs>
          <w:tab w:pos="578" w:val="left" w:leader="none"/>
        </w:tabs>
        <w:spacing w:line="240" w:lineRule="auto" w:before="81" w:after="0"/>
        <w:ind w:left="578" w:right="0" w:hanging="358"/>
        <w:jc w:val="left"/>
      </w:pPr>
      <w:r>
        <w:rPr/>
        <w:t>Ways</w:t>
      </w:r>
      <w:r>
        <w:rPr>
          <w:spacing w:val="-6"/>
        </w:rPr>
        <w:t> </w:t>
      </w:r>
      <w:r>
        <w:rPr/>
        <w:t>to</w:t>
      </w:r>
      <w:r>
        <w:rPr>
          <w:spacing w:val="-3"/>
        </w:rPr>
        <w:t> </w:t>
      </w:r>
      <w:r>
        <w:rPr/>
        <w:t>enhance</w:t>
      </w:r>
      <w:r>
        <w:rPr>
          <w:spacing w:val="-3"/>
        </w:rPr>
        <w:t> </w:t>
      </w:r>
      <w:r>
        <w:rPr/>
        <w:t>the</w:t>
      </w:r>
      <w:r>
        <w:rPr>
          <w:spacing w:val="-6"/>
        </w:rPr>
        <w:t> </w:t>
      </w:r>
      <w:r>
        <w:rPr/>
        <w:t>quality,</w:t>
      </w:r>
      <w:r>
        <w:rPr>
          <w:spacing w:val="-1"/>
        </w:rPr>
        <w:t> </w:t>
      </w:r>
      <w:r>
        <w:rPr/>
        <w:t>utility</w:t>
      </w:r>
      <w:r>
        <w:rPr>
          <w:spacing w:val="-7"/>
        </w:rPr>
        <w:t> </w:t>
      </w:r>
      <w:r>
        <w:rPr/>
        <w:t>and</w:t>
      </w:r>
      <w:r>
        <w:rPr>
          <w:spacing w:val="-3"/>
        </w:rPr>
        <w:t> </w:t>
      </w:r>
      <w:r>
        <w:rPr/>
        <w:t>clarity</w:t>
      </w:r>
      <w:r>
        <w:rPr>
          <w:spacing w:val="-5"/>
        </w:rPr>
        <w:t> </w:t>
      </w:r>
      <w:r>
        <w:rPr/>
        <w:t>of</w:t>
      </w:r>
      <w:r>
        <w:rPr>
          <w:spacing w:val="-4"/>
        </w:rPr>
        <w:t> </w:t>
      </w:r>
      <w:r>
        <w:rPr/>
        <w:t>the</w:t>
      </w:r>
      <w:r>
        <w:rPr>
          <w:spacing w:val="-5"/>
        </w:rPr>
        <w:t> </w:t>
      </w:r>
      <w:r>
        <w:rPr/>
        <w:t>information</w:t>
      </w:r>
      <w:r>
        <w:rPr>
          <w:spacing w:val="-5"/>
        </w:rPr>
        <w:t> </w:t>
      </w:r>
      <w:r>
        <w:rPr/>
        <w:t>to</w:t>
      </w:r>
      <w:r>
        <w:rPr>
          <w:spacing w:val="-5"/>
        </w:rPr>
        <w:t> </w:t>
      </w:r>
      <w:r>
        <w:rPr/>
        <w:t>be</w:t>
      </w:r>
      <w:r>
        <w:rPr>
          <w:spacing w:val="-2"/>
        </w:rPr>
        <w:t> collection</w:t>
      </w:r>
    </w:p>
    <w:p>
      <w:pPr>
        <w:pStyle w:val="BodyText"/>
        <w:spacing w:before="3"/>
        <w:rPr>
          <w:b/>
        </w:rPr>
      </w:pPr>
    </w:p>
    <w:p>
      <w:pPr>
        <w:pStyle w:val="BodyText"/>
        <w:ind w:left="119" w:right="277"/>
      </w:pPr>
      <w:r>
        <w:rPr/>
        <w:t>Both forms HUD-52695 and HUD-52697 pre-date HUD’s implementation of the Section 811 Project Rental</w:t>
      </w:r>
      <w:r>
        <w:rPr>
          <w:spacing w:val="-3"/>
        </w:rPr>
        <w:t> </w:t>
      </w:r>
      <w:r>
        <w:rPr/>
        <w:t>Assistance</w:t>
      </w:r>
      <w:r>
        <w:rPr>
          <w:spacing w:val="-4"/>
        </w:rPr>
        <w:t> </w:t>
      </w:r>
      <w:r>
        <w:rPr/>
        <w:t>(PRA)</w:t>
      </w:r>
      <w:r>
        <w:rPr>
          <w:spacing w:val="-3"/>
        </w:rPr>
        <w:t> </w:t>
      </w:r>
      <w:r>
        <w:rPr/>
        <w:t>program</w:t>
      </w:r>
      <w:r>
        <w:rPr>
          <w:spacing w:val="-3"/>
        </w:rPr>
        <w:t> </w:t>
      </w:r>
      <w:r>
        <w:rPr/>
        <w:t>and</w:t>
      </w:r>
      <w:r>
        <w:rPr>
          <w:spacing w:val="-4"/>
        </w:rPr>
        <w:t> </w:t>
      </w:r>
      <w:r>
        <w:rPr/>
        <w:t>therefore</w:t>
      </w:r>
      <w:r>
        <w:rPr>
          <w:spacing w:val="-4"/>
        </w:rPr>
        <w:t> </w:t>
      </w:r>
      <w:r>
        <w:rPr/>
        <w:t>do</w:t>
      </w:r>
      <w:r>
        <w:rPr>
          <w:spacing w:val="-2"/>
        </w:rPr>
        <w:t> </w:t>
      </w:r>
      <w:r>
        <w:rPr/>
        <w:t>not</w:t>
      </w:r>
      <w:r>
        <w:rPr>
          <w:spacing w:val="-3"/>
        </w:rPr>
        <w:t> </w:t>
      </w:r>
      <w:r>
        <w:rPr/>
        <w:t>include PRA</w:t>
      </w:r>
      <w:r>
        <w:rPr>
          <w:spacing w:val="-2"/>
        </w:rPr>
        <w:t> </w:t>
      </w:r>
      <w:r>
        <w:rPr/>
        <w:t>in</w:t>
      </w:r>
      <w:r>
        <w:rPr>
          <w:spacing w:val="-2"/>
        </w:rPr>
        <w:t> </w:t>
      </w:r>
      <w:r>
        <w:rPr/>
        <w:t>the</w:t>
      </w:r>
      <w:r>
        <w:rPr>
          <w:spacing w:val="-7"/>
        </w:rPr>
        <w:t> </w:t>
      </w:r>
      <w:r>
        <w:rPr/>
        <w:t>list of rental</w:t>
      </w:r>
      <w:r>
        <w:rPr>
          <w:spacing w:val="-3"/>
        </w:rPr>
        <w:t> </w:t>
      </w:r>
      <w:r>
        <w:rPr/>
        <w:t>assistance</w:t>
      </w:r>
      <w:r>
        <w:rPr>
          <w:spacing w:val="-4"/>
        </w:rPr>
        <w:t> </w:t>
      </w:r>
      <w:r>
        <w:rPr/>
        <w:t>that may be attached to the LIHTC units. The vast majority of HUD’s PRA Federal rental assistance is in LIHTC projects.</w:t>
      </w:r>
    </w:p>
    <w:p>
      <w:pPr>
        <w:pStyle w:val="BodyText"/>
        <w:spacing w:before="2"/>
      </w:pPr>
    </w:p>
    <w:p>
      <w:pPr>
        <w:pStyle w:val="BodyText"/>
        <w:ind w:left="119"/>
      </w:pPr>
      <w:r>
        <w:rPr/>
        <w:t>CCD</w:t>
      </w:r>
      <w:r>
        <w:rPr>
          <w:spacing w:val="-6"/>
        </w:rPr>
        <w:t> </w:t>
      </w:r>
      <w:r>
        <w:rPr/>
        <w:t>proposes</w:t>
      </w:r>
      <w:r>
        <w:rPr>
          <w:spacing w:val="-8"/>
        </w:rPr>
        <w:t> </w:t>
      </w:r>
      <w:r>
        <w:rPr/>
        <w:t>the</w:t>
      </w:r>
      <w:r>
        <w:rPr>
          <w:spacing w:val="-8"/>
        </w:rPr>
        <w:t> </w:t>
      </w:r>
      <w:r>
        <w:rPr/>
        <w:t>following</w:t>
      </w:r>
      <w:r>
        <w:rPr>
          <w:spacing w:val="-5"/>
        </w:rPr>
        <w:t> </w:t>
      </w:r>
      <w:r>
        <w:rPr>
          <w:spacing w:val="-2"/>
        </w:rPr>
        <w:t>revisions:</w:t>
      </w:r>
    </w:p>
    <w:p>
      <w:pPr>
        <w:pStyle w:val="BodyText"/>
      </w:pPr>
    </w:p>
    <w:p>
      <w:pPr>
        <w:pStyle w:val="Heading1"/>
        <w:spacing w:before="1"/>
      </w:pPr>
      <w:r>
        <w:rPr/>
        <w:t>Form</w:t>
      </w:r>
      <w:r>
        <w:rPr>
          <w:spacing w:val="-6"/>
        </w:rPr>
        <w:t> </w:t>
      </w:r>
      <w:r>
        <w:rPr/>
        <w:t>HUD-</w:t>
      </w:r>
      <w:r>
        <w:rPr>
          <w:spacing w:val="-2"/>
        </w:rPr>
        <w:t>52697</w:t>
      </w:r>
    </w:p>
    <w:p>
      <w:pPr>
        <w:pStyle w:val="BodyText"/>
        <w:spacing w:before="2"/>
        <w:rPr>
          <w:b/>
        </w:rPr>
      </w:pPr>
    </w:p>
    <w:p>
      <w:pPr>
        <w:pStyle w:val="ListParagraph"/>
        <w:numPr>
          <w:ilvl w:val="1"/>
          <w:numId w:val="1"/>
        </w:numPr>
        <w:tabs>
          <w:tab w:pos="839" w:val="left" w:leader="none"/>
        </w:tabs>
        <w:spacing w:line="240" w:lineRule="auto" w:before="0" w:after="0"/>
        <w:ind w:left="839" w:right="0" w:hanging="360"/>
        <w:jc w:val="left"/>
        <w:rPr>
          <w:sz w:val="22"/>
        </w:rPr>
      </w:pPr>
      <w:r>
        <w:rPr>
          <w:sz w:val="22"/>
        </w:rPr>
        <w:t>Include</w:t>
      </w:r>
      <w:r>
        <w:rPr>
          <w:spacing w:val="-7"/>
          <w:sz w:val="22"/>
        </w:rPr>
        <w:t> </w:t>
      </w:r>
      <w:r>
        <w:rPr>
          <w:sz w:val="22"/>
        </w:rPr>
        <w:t>S.</w:t>
      </w:r>
      <w:r>
        <w:rPr>
          <w:spacing w:val="-5"/>
          <w:sz w:val="22"/>
        </w:rPr>
        <w:t> </w:t>
      </w:r>
      <w:r>
        <w:rPr>
          <w:sz w:val="22"/>
        </w:rPr>
        <w:t>811</w:t>
      </w:r>
      <w:r>
        <w:rPr>
          <w:spacing w:val="-4"/>
          <w:sz w:val="22"/>
        </w:rPr>
        <w:t> </w:t>
      </w:r>
      <w:r>
        <w:rPr>
          <w:sz w:val="22"/>
        </w:rPr>
        <w:t>PRA</w:t>
      </w:r>
      <w:r>
        <w:rPr>
          <w:spacing w:val="-4"/>
          <w:sz w:val="22"/>
        </w:rPr>
        <w:t> </w:t>
      </w:r>
      <w:r>
        <w:rPr>
          <w:sz w:val="22"/>
        </w:rPr>
        <w:t>as</w:t>
      </w:r>
      <w:r>
        <w:rPr>
          <w:spacing w:val="-3"/>
          <w:sz w:val="22"/>
        </w:rPr>
        <w:t> </w:t>
      </w:r>
      <w:r>
        <w:rPr>
          <w:sz w:val="22"/>
        </w:rPr>
        <w:t>a</w:t>
      </w:r>
      <w:r>
        <w:rPr>
          <w:spacing w:val="-6"/>
          <w:sz w:val="22"/>
        </w:rPr>
        <w:t> </w:t>
      </w:r>
      <w:r>
        <w:rPr>
          <w:sz w:val="22"/>
        </w:rPr>
        <w:t>Source</w:t>
      </w:r>
      <w:r>
        <w:rPr>
          <w:spacing w:val="-6"/>
          <w:sz w:val="22"/>
        </w:rPr>
        <w:t> </w:t>
      </w:r>
      <w:r>
        <w:rPr>
          <w:sz w:val="22"/>
        </w:rPr>
        <w:t>of</w:t>
      </w:r>
      <w:r>
        <w:rPr>
          <w:spacing w:val="-2"/>
          <w:sz w:val="22"/>
        </w:rPr>
        <w:t> </w:t>
      </w:r>
      <w:r>
        <w:rPr>
          <w:sz w:val="22"/>
        </w:rPr>
        <w:t>Federal</w:t>
      </w:r>
      <w:r>
        <w:rPr>
          <w:spacing w:val="-5"/>
          <w:sz w:val="22"/>
        </w:rPr>
        <w:t> </w:t>
      </w:r>
      <w:r>
        <w:rPr>
          <w:sz w:val="22"/>
        </w:rPr>
        <w:t>Rental</w:t>
      </w:r>
      <w:r>
        <w:rPr>
          <w:spacing w:val="-5"/>
          <w:sz w:val="22"/>
        </w:rPr>
        <w:t> </w:t>
      </w:r>
      <w:r>
        <w:rPr>
          <w:sz w:val="22"/>
        </w:rPr>
        <w:t>Assistance</w:t>
      </w:r>
      <w:r>
        <w:rPr>
          <w:spacing w:val="-4"/>
          <w:sz w:val="22"/>
        </w:rPr>
        <w:t> </w:t>
      </w:r>
      <w:r>
        <w:rPr>
          <w:sz w:val="22"/>
        </w:rPr>
        <w:t>under</w:t>
      </w:r>
      <w:r>
        <w:rPr>
          <w:spacing w:val="-3"/>
          <w:sz w:val="22"/>
        </w:rPr>
        <w:t> </w:t>
      </w:r>
      <w:r>
        <w:rPr>
          <w:sz w:val="22"/>
        </w:rPr>
        <w:t>Part</w:t>
      </w:r>
      <w:r>
        <w:rPr>
          <w:spacing w:val="-7"/>
          <w:sz w:val="22"/>
        </w:rPr>
        <w:t> </w:t>
      </w:r>
      <w:r>
        <w:rPr>
          <w:sz w:val="22"/>
        </w:rPr>
        <w:t>VI</w:t>
      </w:r>
      <w:r>
        <w:rPr>
          <w:spacing w:val="-2"/>
          <w:sz w:val="22"/>
        </w:rPr>
        <w:t> </w:t>
      </w:r>
      <w:r>
        <w:rPr>
          <w:sz w:val="22"/>
        </w:rPr>
        <w:t>Monthly</w:t>
      </w:r>
      <w:r>
        <w:rPr>
          <w:spacing w:val="-6"/>
          <w:sz w:val="22"/>
        </w:rPr>
        <w:t> </w:t>
      </w:r>
      <w:r>
        <w:rPr>
          <w:spacing w:val="-2"/>
          <w:sz w:val="22"/>
        </w:rPr>
        <w:t>Rent.</w:t>
      </w:r>
    </w:p>
    <w:p>
      <w:pPr>
        <w:pStyle w:val="BodyText"/>
      </w:pPr>
    </w:p>
    <w:p>
      <w:pPr>
        <w:pStyle w:val="ListParagraph"/>
        <w:numPr>
          <w:ilvl w:val="1"/>
          <w:numId w:val="1"/>
        </w:numPr>
        <w:tabs>
          <w:tab w:pos="839" w:val="left" w:leader="none"/>
        </w:tabs>
        <w:spacing w:line="240" w:lineRule="auto" w:before="1" w:after="0"/>
        <w:ind w:left="839" w:right="0" w:hanging="360"/>
        <w:jc w:val="left"/>
        <w:rPr>
          <w:sz w:val="22"/>
        </w:rPr>
      </w:pPr>
      <w:r>
        <w:rPr>
          <w:sz w:val="22"/>
        </w:rPr>
        <w:t>Add</w:t>
      </w:r>
      <w:r>
        <w:rPr>
          <w:spacing w:val="-5"/>
          <w:sz w:val="22"/>
        </w:rPr>
        <w:t> </w:t>
      </w:r>
      <w:r>
        <w:rPr>
          <w:sz w:val="22"/>
        </w:rPr>
        <w:t>the</w:t>
      </w:r>
      <w:r>
        <w:rPr>
          <w:spacing w:val="-9"/>
          <w:sz w:val="22"/>
        </w:rPr>
        <w:t> </w:t>
      </w:r>
      <w:r>
        <w:rPr>
          <w:sz w:val="22"/>
        </w:rPr>
        <w:t>following</w:t>
      </w:r>
      <w:r>
        <w:rPr>
          <w:spacing w:val="-2"/>
          <w:sz w:val="22"/>
        </w:rPr>
        <w:t> questions:</w:t>
      </w:r>
    </w:p>
    <w:p>
      <w:pPr>
        <w:pStyle w:val="BodyText"/>
      </w:pPr>
    </w:p>
    <w:p>
      <w:pPr>
        <w:pStyle w:val="BodyText"/>
      </w:pPr>
    </w:p>
    <w:p>
      <w:pPr>
        <w:pStyle w:val="BodyText"/>
        <w:ind w:left="1559"/>
      </w:pPr>
      <w:r>
        <w:rPr/>
        <w:t>Is</w:t>
      </w:r>
      <w:r>
        <w:rPr>
          <w:spacing w:val="-8"/>
        </w:rPr>
        <w:t> </w:t>
      </w:r>
      <w:r>
        <w:rPr/>
        <w:t>the</w:t>
      </w:r>
      <w:r>
        <w:rPr>
          <w:spacing w:val="-5"/>
        </w:rPr>
        <w:t> </w:t>
      </w:r>
      <w:r>
        <w:rPr/>
        <w:t>tenant</w:t>
      </w:r>
      <w:r>
        <w:rPr>
          <w:spacing w:val="-4"/>
        </w:rPr>
        <w:t> </w:t>
      </w:r>
      <w:r>
        <w:rPr/>
        <w:t>residing</w:t>
      </w:r>
      <w:r>
        <w:rPr>
          <w:spacing w:val="-1"/>
        </w:rPr>
        <w:t> </w:t>
      </w:r>
      <w:r>
        <w:rPr/>
        <w:t>in</w:t>
      </w:r>
      <w:r>
        <w:rPr>
          <w:spacing w:val="-7"/>
        </w:rPr>
        <w:t> </w:t>
      </w:r>
      <w:r>
        <w:rPr/>
        <w:t>a</w:t>
      </w:r>
      <w:r>
        <w:rPr>
          <w:spacing w:val="-4"/>
        </w:rPr>
        <w:t> </w:t>
      </w:r>
      <w:r>
        <w:rPr/>
        <w:t>unit</w:t>
      </w:r>
      <w:r>
        <w:rPr>
          <w:spacing w:val="-4"/>
        </w:rPr>
        <w:t> </w:t>
      </w:r>
      <w:r>
        <w:rPr/>
        <w:t>that</w:t>
      </w:r>
      <w:r>
        <w:rPr>
          <w:spacing w:val="-4"/>
        </w:rPr>
        <w:t> </w:t>
      </w:r>
      <w:r>
        <w:rPr/>
        <w:t>is</w:t>
      </w:r>
      <w:r>
        <w:rPr>
          <w:spacing w:val="-2"/>
        </w:rPr>
        <w:t> </w:t>
      </w:r>
      <w:r>
        <w:rPr/>
        <w:t>designed</w:t>
      </w:r>
      <w:r>
        <w:rPr>
          <w:spacing w:val="-5"/>
        </w:rPr>
        <w:t> </w:t>
      </w:r>
      <w:r>
        <w:rPr/>
        <w:t>to</w:t>
      </w:r>
      <w:r>
        <w:rPr>
          <w:spacing w:val="-7"/>
        </w:rPr>
        <w:t> </w:t>
      </w:r>
      <w:r>
        <w:rPr/>
        <w:t>be</w:t>
      </w:r>
      <w:r>
        <w:rPr>
          <w:spacing w:val="-4"/>
        </w:rPr>
        <w:t> </w:t>
      </w:r>
      <w:r>
        <w:rPr/>
        <w:t>(check</w:t>
      </w:r>
      <w:r>
        <w:rPr>
          <w:spacing w:val="1"/>
        </w:rPr>
        <w:t> </w:t>
      </w:r>
      <w:r>
        <w:rPr/>
        <w:t>all</w:t>
      </w:r>
      <w:r>
        <w:rPr>
          <w:spacing w:val="-3"/>
        </w:rPr>
        <w:t> </w:t>
      </w:r>
      <w:r>
        <w:rPr/>
        <w:t>that</w:t>
      </w:r>
      <w:r>
        <w:rPr>
          <w:spacing w:val="-4"/>
        </w:rPr>
        <w:t> </w:t>
      </w:r>
      <w:r>
        <w:rPr>
          <w:spacing w:val="-2"/>
        </w:rPr>
        <w:t>apply)</w:t>
      </w:r>
    </w:p>
    <w:p>
      <w:pPr>
        <w:pStyle w:val="BodyText"/>
        <w:tabs>
          <w:tab w:pos="2279" w:val="left" w:leader="none"/>
        </w:tabs>
        <w:spacing w:line="269" w:lineRule="exact" w:before="1"/>
        <w:ind w:left="1919"/>
      </w:pPr>
      <w:r>
        <w:rPr>
          <w:rFonts w:ascii="Symbol" w:hAnsi="Symbol"/>
          <w:spacing w:val="-10"/>
        </w:rPr>
        <w:t></w:t>
      </w:r>
      <w:r>
        <w:rPr>
          <w:rFonts w:ascii="Times New Roman" w:hAnsi="Times New Roman"/>
        </w:rPr>
        <w:tab/>
      </w:r>
      <w:r>
        <w:rPr/>
        <w:t>Accessible</w:t>
      </w:r>
      <w:r>
        <w:rPr>
          <w:spacing w:val="-7"/>
        </w:rPr>
        <w:t> </w:t>
      </w:r>
      <w:r>
        <w:rPr/>
        <w:t>to</w:t>
      </w:r>
      <w:r>
        <w:rPr>
          <w:spacing w:val="-6"/>
        </w:rPr>
        <w:t> </w:t>
      </w:r>
      <w:r>
        <w:rPr/>
        <w:t>a</w:t>
      </w:r>
      <w:r>
        <w:rPr>
          <w:spacing w:val="-8"/>
        </w:rPr>
        <w:t> </w:t>
      </w:r>
      <w:r>
        <w:rPr/>
        <w:t>person</w:t>
      </w:r>
      <w:r>
        <w:rPr>
          <w:spacing w:val="-7"/>
        </w:rPr>
        <w:t> </w:t>
      </w:r>
      <w:r>
        <w:rPr/>
        <w:t>with</w:t>
      </w:r>
      <w:r>
        <w:rPr>
          <w:spacing w:val="-6"/>
        </w:rPr>
        <w:t> </w:t>
      </w:r>
      <w:r>
        <w:rPr/>
        <w:t>hearing/visual</w:t>
      </w:r>
      <w:r>
        <w:rPr>
          <w:spacing w:val="-6"/>
        </w:rPr>
        <w:t> </w:t>
      </w:r>
      <w:r>
        <w:rPr>
          <w:spacing w:val="-2"/>
        </w:rPr>
        <w:t>disabilities</w:t>
      </w:r>
    </w:p>
    <w:p>
      <w:pPr>
        <w:pStyle w:val="BodyText"/>
        <w:tabs>
          <w:tab w:pos="2279" w:val="left" w:leader="none"/>
        </w:tabs>
        <w:spacing w:line="269" w:lineRule="exact"/>
        <w:ind w:left="1919"/>
      </w:pPr>
      <w:r>
        <w:rPr>
          <w:rFonts w:ascii="Symbol" w:hAnsi="Symbol"/>
          <w:spacing w:val="-10"/>
        </w:rPr>
        <w:t></w:t>
      </w:r>
      <w:r>
        <w:rPr>
          <w:rFonts w:ascii="Times New Roman" w:hAnsi="Times New Roman"/>
        </w:rPr>
        <w:tab/>
      </w:r>
      <w:r>
        <w:rPr/>
        <w:t>Accessible</w:t>
      </w:r>
      <w:r>
        <w:rPr>
          <w:spacing w:val="-6"/>
        </w:rPr>
        <w:t> </w:t>
      </w:r>
      <w:r>
        <w:rPr/>
        <w:t>to</w:t>
      </w:r>
      <w:r>
        <w:rPr>
          <w:spacing w:val="-5"/>
        </w:rPr>
        <w:t> </w:t>
      </w:r>
      <w:r>
        <w:rPr/>
        <w:t>a</w:t>
      </w:r>
      <w:r>
        <w:rPr>
          <w:spacing w:val="-6"/>
        </w:rPr>
        <w:t> </w:t>
      </w:r>
      <w:r>
        <w:rPr/>
        <w:t>person</w:t>
      </w:r>
      <w:r>
        <w:rPr>
          <w:spacing w:val="-5"/>
        </w:rPr>
        <w:t> </w:t>
      </w:r>
      <w:r>
        <w:rPr/>
        <w:t>with</w:t>
      </w:r>
      <w:r>
        <w:rPr>
          <w:spacing w:val="-6"/>
        </w:rPr>
        <w:t> </w:t>
      </w:r>
      <w:r>
        <w:rPr/>
        <w:t>physical</w:t>
      </w:r>
      <w:r>
        <w:rPr>
          <w:spacing w:val="-5"/>
        </w:rPr>
        <w:t> </w:t>
      </w:r>
      <w:r>
        <w:rPr>
          <w:spacing w:val="-2"/>
        </w:rPr>
        <w:t>disabilities</w:t>
      </w:r>
    </w:p>
    <w:p>
      <w:pPr>
        <w:pStyle w:val="BodyText"/>
        <w:tabs>
          <w:tab w:pos="2279" w:val="left" w:leader="none"/>
        </w:tabs>
        <w:spacing w:line="269" w:lineRule="exact"/>
        <w:ind w:left="1919"/>
      </w:pPr>
      <w:r>
        <w:rPr>
          <w:rFonts w:ascii="Symbol" w:hAnsi="Symbol"/>
          <w:spacing w:val="-10"/>
        </w:rPr>
        <w:t></w:t>
      </w:r>
      <w:r>
        <w:rPr>
          <w:rFonts w:ascii="Times New Roman" w:hAnsi="Times New Roman"/>
        </w:rPr>
        <w:tab/>
      </w:r>
      <w:r>
        <w:rPr/>
        <w:t>Accessible</w:t>
      </w:r>
      <w:r>
        <w:rPr>
          <w:spacing w:val="-4"/>
        </w:rPr>
        <w:t> </w:t>
      </w:r>
      <w:r>
        <w:rPr/>
        <w:t>to</w:t>
      </w:r>
      <w:r>
        <w:rPr>
          <w:spacing w:val="-3"/>
        </w:rPr>
        <w:t> </w:t>
      </w:r>
      <w:r>
        <w:rPr/>
        <w:t>a</w:t>
      </w:r>
      <w:r>
        <w:rPr>
          <w:spacing w:val="-5"/>
        </w:rPr>
        <w:t> </w:t>
      </w:r>
      <w:r>
        <w:rPr/>
        <w:t>person</w:t>
      </w:r>
      <w:r>
        <w:rPr>
          <w:spacing w:val="-4"/>
        </w:rPr>
        <w:t> </w:t>
      </w:r>
      <w:r>
        <w:rPr/>
        <w:t>who</w:t>
      </w:r>
      <w:r>
        <w:rPr>
          <w:spacing w:val="-3"/>
        </w:rPr>
        <w:t> </w:t>
      </w:r>
      <w:r>
        <w:rPr/>
        <w:t>uses</w:t>
      </w:r>
      <w:r>
        <w:rPr>
          <w:spacing w:val="-2"/>
        </w:rPr>
        <w:t> </w:t>
      </w:r>
      <w:r>
        <w:rPr/>
        <w:t>a</w:t>
      </w:r>
      <w:r>
        <w:rPr>
          <w:spacing w:val="-5"/>
        </w:rPr>
        <w:t> </w:t>
      </w:r>
      <w:r>
        <w:rPr>
          <w:spacing w:val="-2"/>
        </w:rPr>
        <w:t>wheelchair</w:t>
      </w:r>
    </w:p>
    <w:p>
      <w:pPr>
        <w:pStyle w:val="BodyText"/>
        <w:tabs>
          <w:tab w:pos="2279" w:val="left" w:leader="none"/>
        </w:tabs>
        <w:spacing w:line="269" w:lineRule="exact"/>
        <w:ind w:left="1919"/>
      </w:pPr>
      <w:r>
        <w:rPr>
          <w:rFonts w:ascii="Symbol" w:hAnsi="Symbol"/>
          <w:spacing w:val="-10"/>
        </w:rPr>
        <w:t></w:t>
      </w:r>
      <w:r>
        <w:rPr>
          <w:rFonts w:ascii="Times New Roman" w:hAnsi="Times New Roman"/>
        </w:rPr>
        <w:tab/>
      </w:r>
      <w:r>
        <w:rPr/>
        <w:t>None</w:t>
      </w:r>
      <w:r>
        <w:rPr>
          <w:spacing w:val="-3"/>
        </w:rPr>
        <w:t> </w:t>
      </w:r>
      <w:r>
        <w:rPr/>
        <w:t>of</w:t>
      </w:r>
      <w:r>
        <w:rPr>
          <w:spacing w:val="-1"/>
        </w:rPr>
        <w:t> </w:t>
      </w:r>
      <w:r>
        <w:rPr/>
        <w:t>the</w:t>
      </w:r>
      <w:r>
        <w:rPr>
          <w:spacing w:val="-4"/>
        </w:rPr>
        <w:t> above</w:t>
      </w:r>
    </w:p>
    <w:p>
      <w:pPr>
        <w:pStyle w:val="BodyText"/>
        <w:spacing w:before="1"/>
      </w:pPr>
    </w:p>
    <w:p>
      <w:pPr>
        <w:pStyle w:val="BodyText"/>
        <w:spacing w:before="1"/>
        <w:ind w:left="1559" w:right="363"/>
      </w:pPr>
      <w:r>
        <w:rPr/>
        <w:t>If</w:t>
      </w:r>
      <w:r>
        <w:rPr>
          <w:spacing w:val="-1"/>
        </w:rPr>
        <w:t> </w:t>
      </w:r>
      <w:r>
        <w:rPr/>
        <w:t>any</w:t>
      </w:r>
      <w:r>
        <w:rPr>
          <w:spacing w:val="-5"/>
        </w:rPr>
        <w:t> </w:t>
      </w:r>
      <w:r>
        <w:rPr/>
        <w:t>of</w:t>
      </w:r>
      <w:r>
        <w:rPr>
          <w:spacing w:val="-1"/>
        </w:rPr>
        <w:t> </w:t>
      </w:r>
      <w:r>
        <w:rPr/>
        <w:t>the</w:t>
      </w:r>
      <w:r>
        <w:rPr>
          <w:spacing w:val="-3"/>
        </w:rPr>
        <w:t> </w:t>
      </w:r>
      <w:r>
        <w:rPr/>
        <w:t>above</w:t>
      </w:r>
      <w:r>
        <w:rPr>
          <w:spacing w:val="-3"/>
        </w:rPr>
        <w:t> </w:t>
      </w:r>
      <w:r>
        <w:rPr/>
        <w:t>boxes</w:t>
      </w:r>
      <w:r>
        <w:rPr>
          <w:spacing w:val="-2"/>
        </w:rPr>
        <w:t> </w:t>
      </w:r>
      <w:r>
        <w:rPr/>
        <w:t>are</w:t>
      </w:r>
      <w:r>
        <w:rPr>
          <w:spacing w:val="-5"/>
        </w:rPr>
        <w:t> </w:t>
      </w:r>
      <w:r>
        <w:rPr/>
        <w:t>checked,</w:t>
      </w:r>
      <w:r>
        <w:rPr>
          <w:spacing w:val="-1"/>
        </w:rPr>
        <w:t> </w:t>
      </w:r>
      <w:r>
        <w:rPr/>
        <w:t>does</w:t>
      </w:r>
      <w:r>
        <w:rPr>
          <w:spacing w:val="-2"/>
        </w:rPr>
        <w:t> </w:t>
      </w:r>
      <w:r>
        <w:rPr/>
        <w:t>any</w:t>
      </w:r>
      <w:r>
        <w:rPr>
          <w:spacing w:val="-7"/>
        </w:rPr>
        <w:t> </w:t>
      </w:r>
      <w:r>
        <w:rPr/>
        <w:t>member</w:t>
      </w:r>
      <w:r>
        <w:rPr>
          <w:spacing w:val="-2"/>
        </w:rPr>
        <w:t> </w:t>
      </w:r>
      <w:r>
        <w:rPr/>
        <w:t>of</w:t>
      </w:r>
      <w:r>
        <w:rPr>
          <w:spacing w:val="-4"/>
        </w:rPr>
        <w:t> </w:t>
      </w:r>
      <w:r>
        <w:rPr/>
        <w:t>the</w:t>
      </w:r>
      <w:r>
        <w:rPr>
          <w:spacing w:val="-5"/>
        </w:rPr>
        <w:t> </w:t>
      </w:r>
      <w:r>
        <w:rPr/>
        <w:t>tenant</w:t>
      </w:r>
      <w:r>
        <w:rPr>
          <w:spacing w:val="-1"/>
        </w:rPr>
        <w:t> </w:t>
      </w:r>
      <w:r>
        <w:rPr/>
        <w:t>household require the access features of the unit?</w:t>
      </w:r>
    </w:p>
    <w:p>
      <w:pPr>
        <w:pStyle w:val="BodyText"/>
        <w:tabs>
          <w:tab w:pos="2279" w:val="left" w:leader="none"/>
        </w:tabs>
        <w:spacing w:line="269" w:lineRule="exact"/>
        <w:ind w:left="1919"/>
      </w:pPr>
      <w:r>
        <w:rPr>
          <w:rFonts w:ascii="Symbol" w:hAnsi="Symbol"/>
          <w:spacing w:val="-10"/>
        </w:rPr>
        <w:t></w:t>
      </w:r>
      <w:r>
        <w:rPr>
          <w:rFonts w:ascii="Times New Roman" w:hAnsi="Times New Roman"/>
        </w:rPr>
        <w:tab/>
      </w:r>
      <w:r>
        <w:rPr>
          <w:spacing w:val="-5"/>
        </w:rPr>
        <w:t>Yes</w:t>
      </w:r>
    </w:p>
    <w:p>
      <w:pPr>
        <w:pStyle w:val="BodyText"/>
        <w:tabs>
          <w:tab w:pos="2279" w:val="left" w:leader="none"/>
        </w:tabs>
        <w:spacing w:line="269" w:lineRule="exact"/>
        <w:ind w:left="1919"/>
      </w:pPr>
      <w:r>
        <w:rPr>
          <w:rFonts w:ascii="Symbol" w:hAnsi="Symbol"/>
          <w:spacing w:val="-10"/>
        </w:rPr>
        <w:t></w:t>
      </w:r>
      <w:r>
        <w:rPr>
          <w:rFonts w:ascii="Times New Roman" w:hAnsi="Times New Roman"/>
        </w:rPr>
        <w:tab/>
      </w:r>
      <w:r>
        <w:rPr>
          <w:spacing w:val="-5"/>
        </w:rPr>
        <w:t>No</w:t>
      </w:r>
    </w:p>
    <w:p>
      <w:pPr>
        <w:pStyle w:val="BodyText"/>
      </w:pPr>
    </w:p>
    <w:p>
      <w:pPr>
        <w:pStyle w:val="BodyText"/>
        <w:spacing w:before="2"/>
      </w:pPr>
    </w:p>
    <w:p>
      <w:pPr>
        <w:pStyle w:val="Heading1"/>
      </w:pPr>
      <w:r>
        <w:rPr/>
        <w:t>Form</w:t>
      </w:r>
      <w:r>
        <w:rPr>
          <w:spacing w:val="-6"/>
        </w:rPr>
        <w:t> </w:t>
      </w:r>
      <w:r>
        <w:rPr/>
        <w:t>HUD-</w:t>
      </w:r>
      <w:r>
        <w:rPr>
          <w:spacing w:val="-2"/>
        </w:rPr>
        <w:t>52695</w:t>
      </w:r>
    </w:p>
    <w:p>
      <w:pPr>
        <w:pStyle w:val="BodyText"/>
        <w:spacing w:before="5"/>
        <w:rPr>
          <w:b/>
        </w:rPr>
      </w:pPr>
    </w:p>
    <w:p>
      <w:pPr>
        <w:pStyle w:val="ListParagraph"/>
        <w:numPr>
          <w:ilvl w:val="1"/>
          <w:numId w:val="1"/>
        </w:numPr>
        <w:tabs>
          <w:tab w:pos="839" w:val="left" w:leader="none"/>
        </w:tabs>
        <w:spacing w:line="237" w:lineRule="auto" w:before="0" w:after="0"/>
        <w:ind w:left="839" w:right="452" w:hanging="360"/>
        <w:jc w:val="left"/>
        <w:rPr>
          <w:sz w:val="22"/>
        </w:rPr>
      </w:pPr>
      <w:r>
        <w:rPr>
          <w:sz w:val="22"/>
        </w:rPr>
        <w:t>Revise </w:t>
      </w:r>
      <w:r>
        <w:rPr>
          <w:i/>
          <w:sz w:val="22"/>
        </w:rPr>
        <w:t>“If “Federal”, Section 8 Contract Number” </w:t>
      </w:r>
      <w:r>
        <w:rPr>
          <w:sz w:val="22"/>
        </w:rPr>
        <w:t>on page 1 to: </w:t>
      </w:r>
      <w:r>
        <w:rPr>
          <w:i/>
          <w:sz w:val="22"/>
        </w:rPr>
        <w:t>“If Federal, provide contract</w:t>
      </w:r>
      <w:r>
        <w:rPr>
          <w:i/>
          <w:sz w:val="22"/>
        </w:rPr>
        <w:t> number”</w:t>
      </w:r>
      <w:r>
        <w:rPr>
          <w:sz w:val="22"/>
        </w:rPr>
        <w:t>.</w:t>
      </w:r>
      <w:r>
        <w:rPr>
          <w:spacing w:val="40"/>
          <w:sz w:val="22"/>
        </w:rPr>
        <w:t> </w:t>
      </w:r>
      <w:r>
        <w:rPr>
          <w:sz w:val="22"/>
        </w:rPr>
        <w:t>The</w:t>
      </w:r>
      <w:r>
        <w:rPr>
          <w:spacing w:val="-5"/>
          <w:sz w:val="22"/>
        </w:rPr>
        <w:t> </w:t>
      </w:r>
      <w:r>
        <w:rPr>
          <w:sz w:val="22"/>
        </w:rPr>
        <w:t>S.</w:t>
      </w:r>
      <w:r>
        <w:rPr>
          <w:spacing w:val="-4"/>
          <w:sz w:val="22"/>
        </w:rPr>
        <w:t> </w:t>
      </w:r>
      <w:r>
        <w:rPr>
          <w:sz w:val="22"/>
        </w:rPr>
        <w:t>811</w:t>
      </w:r>
      <w:r>
        <w:rPr>
          <w:spacing w:val="-3"/>
          <w:sz w:val="22"/>
        </w:rPr>
        <w:t> </w:t>
      </w:r>
      <w:r>
        <w:rPr>
          <w:sz w:val="22"/>
        </w:rPr>
        <w:t>PRA</w:t>
      </w:r>
      <w:r>
        <w:rPr>
          <w:spacing w:val="-3"/>
          <w:sz w:val="22"/>
        </w:rPr>
        <w:t> </w:t>
      </w:r>
      <w:r>
        <w:rPr>
          <w:sz w:val="22"/>
        </w:rPr>
        <w:t>program</w:t>
      </w:r>
      <w:r>
        <w:rPr>
          <w:spacing w:val="-4"/>
          <w:sz w:val="22"/>
        </w:rPr>
        <w:t> </w:t>
      </w:r>
      <w:r>
        <w:rPr>
          <w:sz w:val="22"/>
        </w:rPr>
        <w:t>is</w:t>
      </w:r>
      <w:r>
        <w:rPr>
          <w:spacing w:val="-2"/>
          <w:sz w:val="22"/>
        </w:rPr>
        <w:t> </w:t>
      </w:r>
      <w:r>
        <w:rPr>
          <w:sz w:val="22"/>
        </w:rPr>
        <w:t>Federal</w:t>
      </w:r>
      <w:r>
        <w:rPr>
          <w:spacing w:val="-6"/>
          <w:sz w:val="22"/>
        </w:rPr>
        <w:t> </w:t>
      </w:r>
      <w:r>
        <w:rPr>
          <w:sz w:val="22"/>
        </w:rPr>
        <w:t>rental</w:t>
      </w:r>
      <w:r>
        <w:rPr>
          <w:spacing w:val="-4"/>
          <w:sz w:val="22"/>
        </w:rPr>
        <w:t> </w:t>
      </w:r>
      <w:r>
        <w:rPr>
          <w:sz w:val="22"/>
        </w:rPr>
        <w:t>assistance</w:t>
      </w:r>
      <w:r>
        <w:rPr>
          <w:spacing w:val="-3"/>
          <w:sz w:val="22"/>
        </w:rPr>
        <w:t> </w:t>
      </w:r>
      <w:r>
        <w:rPr>
          <w:sz w:val="22"/>
        </w:rPr>
        <w:t>but</w:t>
      </w:r>
      <w:r>
        <w:rPr>
          <w:spacing w:val="-1"/>
          <w:sz w:val="22"/>
        </w:rPr>
        <w:t> </w:t>
      </w:r>
      <w:r>
        <w:rPr>
          <w:sz w:val="22"/>
        </w:rPr>
        <w:t>the</w:t>
      </w:r>
      <w:r>
        <w:rPr>
          <w:spacing w:val="-3"/>
          <w:sz w:val="22"/>
        </w:rPr>
        <w:t> </w:t>
      </w:r>
      <w:r>
        <w:rPr>
          <w:sz w:val="22"/>
        </w:rPr>
        <w:t>contract</w:t>
      </w:r>
      <w:r>
        <w:rPr>
          <w:spacing w:val="-1"/>
          <w:sz w:val="22"/>
        </w:rPr>
        <w:t> </w:t>
      </w:r>
      <w:r>
        <w:rPr>
          <w:sz w:val="22"/>
        </w:rPr>
        <w:t>number</w:t>
      </w:r>
      <w:r>
        <w:rPr>
          <w:spacing w:val="-4"/>
          <w:sz w:val="22"/>
        </w:rPr>
        <w:t> </w:t>
      </w:r>
      <w:r>
        <w:rPr>
          <w:sz w:val="22"/>
        </w:rPr>
        <w:t>is</w:t>
      </w:r>
      <w:r>
        <w:rPr>
          <w:spacing w:val="-2"/>
          <w:sz w:val="22"/>
        </w:rPr>
        <w:t> </w:t>
      </w:r>
      <w:r>
        <w:rPr>
          <w:sz w:val="22"/>
        </w:rPr>
        <w:t>not specifically a “Section 8” contract number.</w:t>
      </w:r>
    </w:p>
    <w:p>
      <w:pPr>
        <w:pStyle w:val="BodyText"/>
      </w:pPr>
    </w:p>
    <w:p>
      <w:pPr>
        <w:pStyle w:val="BodyText"/>
      </w:pPr>
    </w:p>
    <w:p>
      <w:pPr>
        <w:pStyle w:val="BodyText"/>
        <w:spacing w:before="84"/>
      </w:pPr>
    </w:p>
    <w:p>
      <w:pPr>
        <w:pStyle w:val="BodyText"/>
        <w:spacing w:line="484" w:lineRule="auto"/>
        <w:ind w:left="220" w:right="2082" w:hanging="101"/>
      </w:pPr>
      <w:r>
        <w:rPr/>
        <w:t>Thank</w:t>
      </w:r>
      <w:r>
        <w:rPr>
          <w:spacing w:val="-2"/>
        </w:rPr>
        <w:t> </w:t>
      </w:r>
      <w:r>
        <w:rPr/>
        <w:t>you</w:t>
      </w:r>
      <w:r>
        <w:rPr>
          <w:spacing w:val="-5"/>
        </w:rPr>
        <w:t> </w:t>
      </w:r>
      <w:r>
        <w:rPr/>
        <w:t>for</w:t>
      </w:r>
      <w:r>
        <w:rPr>
          <w:spacing w:val="-7"/>
        </w:rPr>
        <w:t> </w:t>
      </w:r>
      <w:r>
        <w:rPr/>
        <w:t>this</w:t>
      </w:r>
      <w:r>
        <w:rPr>
          <w:spacing w:val="-2"/>
        </w:rPr>
        <w:t> </w:t>
      </w:r>
      <w:r>
        <w:rPr/>
        <w:t>opportunity</w:t>
      </w:r>
      <w:r>
        <w:rPr>
          <w:spacing w:val="-5"/>
        </w:rPr>
        <w:t> </w:t>
      </w:r>
      <w:r>
        <w:rPr/>
        <w:t>to</w:t>
      </w:r>
      <w:r>
        <w:rPr>
          <w:spacing w:val="-3"/>
        </w:rPr>
        <w:t> </w:t>
      </w:r>
      <w:r>
        <w:rPr/>
        <w:t>comment</w:t>
      </w:r>
      <w:r>
        <w:rPr>
          <w:spacing w:val="-4"/>
        </w:rPr>
        <w:t> </w:t>
      </w:r>
      <w:r>
        <w:rPr/>
        <w:t>on</w:t>
      </w:r>
      <w:r>
        <w:rPr>
          <w:spacing w:val="-3"/>
        </w:rPr>
        <w:t> </w:t>
      </w:r>
      <w:r>
        <w:rPr/>
        <w:t>HUD</w:t>
      </w:r>
      <w:r>
        <w:rPr>
          <w:spacing w:val="-6"/>
        </w:rPr>
        <w:t> </w:t>
      </w:r>
      <w:r>
        <w:rPr/>
        <w:t>forms</w:t>
      </w:r>
      <w:r>
        <w:rPr>
          <w:spacing w:val="-1"/>
        </w:rPr>
        <w:t> </w:t>
      </w:r>
      <w:r>
        <w:rPr/>
        <w:t>52697</w:t>
      </w:r>
      <w:r>
        <w:rPr>
          <w:spacing w:val="-3"/>
        </w:rPr>
        <w:t> </w:t>
      </w:r>
      <w:r>
        <w:rPr/>
        <w:t>and</w:t>
      </w:r>
      <w:r>
        <w:rPr>
          <w:spacing w:val="-5"/>
        </w:rPr>
        <w:t> </w:t>
      </w:r>
      <w:r>
        <w:rPr/>
        <w:t>52695. </w:t>
      </w:r>
      <w:r>
        <w:rPr>
          <w:spacing w:val="-2"/>
        </w:rPr>
        <w:t>Sincerely,</w:t>
      </w:r>
    </w:p>
    <w:p>
      <w:pPr>
        <w:pStyle w:val="BodyText"/>
        <w:spacing w:before="3"/>
        <w:ind w:left="220"/>
      </w:pPr>
      <w:r>
        <w:rPr/>
        <w:t>Allie</w:t>
      </w:r>
      <w:r>
        <w:rPr>
          <w:spacing w:val="-14"/>
        </w:rPr>
        <w:t> </w:t>
      </w:r>
      <w:r>
        <w:rPr/>
        <w:t>Cannington,</w:t>
      </w:r>
      <w:r>
        <w:rPr>
          <w:spacing w:val="-15"/>
        </w:rPr>
        <w:t> </w:t>
      </w:r>
      <w:r>
        <w:rPr/>
        <w:t>The</w:t>
      </w:r>
      <w:r>
        <w:rPr>
          <w:spacing w:val="-13"/>
        </w:rPr>
        <w:t> </w:t>
      </w:r>
      <w:r>
        <w:rPr>
          <w:spacing w:val="-2"/>
        </w:rPr>
        <w:t>Kelsey</w:t>
      </w:r>
    </w:p>
    <w:p>
      <w:pPr>
        <w:pStyle w:val="BodyText"/>
        <w:spacing w:before="5"/>
        <w:ind w:left="220" w:right="4948"/>
      </w:pPr>
      <w:r>
        <w:rPr/>
        <w:t>Co-Chair,</w:t>
      </w:r>
      <w:r>
        <w:rPr>
          <w:spacing w:val="-16"/>
        </w:rPr>
        <w:t> </w:t>
      </w:r>
      <w:r>
        <w:rPr/>
        <w:t>CCD</w:t>
      </w:r>
      <w:r>
        <w:rPr>
          <w:spacing w:val="-15"/>
        </w:rPr>
        <w:t> </w:t>
      </w:r>
      <w:r>
        <w:rPr/>
        <w:t>Housing</w:t>
      </w:r>
      <w:r>
        <w:rPr>
          <w:spacing w:val="-15"/>
        </w:rPr>
        <w:t> </w:t>
      </w:r>
      <w:r>
        <w:rPr/>
        <w:t>Task</w:t>
      </w:r>
      <w:r>
        <w:rPr>
          <w:spacing w:val="-16"/>
        </w:rPr>
        <w:t> </w:t>
      </w:r>
      <w:r>
        <w:rPr/>
        <w:t>Force </w:t>
      </w:r>
      <w:hyperlink r:id="rId10">
        <w:r>
          <w:rPr>
            <w:color w:val="0000FF"/>
            <w:spacing w:val="-2"/>
            <w:u w:val="single" w:color="0000FF"/>
          </w:rPr>
          <w:t>allie@thekelsey.org</w:t>
        </w:r>
      </w:hyperlink>
    </w:p>
    <w:p>
      <w:pPr>
        <w:pStyle w:val="BodyText"/>
        <w:spacing w:before="6"/>
      </w:pPr>
    </w:p>
    <w:p>
      <w:pPr>
        <w:pStyle w:val="BodyText"/>
        <w:ind w:left="220"/>
      </w:pPr>
      <w:r>
        <w:rPr/>
        <w:t>Jennifer</w:t>
      </w:r>
      <w:r>
        <w:rPr>
          <w:spacing w:val="-7"/>
        </w:rPr>
        <w:t> </w:t>
      </w:r>
      <w:r>
        <w:rPr/>
        <w:t>Kye,</w:t>
      </w:r>
      <w:r>
        <w:rPr>
          <w:spacing w:val="-8"/>
        </w:rPr>
        <w:t> </w:t>
      </w:r>
      <w:r>
        <w:rPr/>
        <w:t>Justice</w:t>
      </w:r>
      <w:r>
        <w:rPr>
          <w:spacing w:val="-9"/>
        </w:rPr>
        <w:t> </w:t>
      </w:r>
      <w:r>
        <w:rPr/>
        <w:t>in</w:t>
      </w:r>
      <w:r>
        <w:rPr>
          <w:spacing w:val="-8"/>
        </w:rPr>
        <w:t> </w:t>
      </w:r>
      <w:r>
        <w:rPr>
          <w:spacing w:val="-4"/>
        </w:rPr>
        <w:t>Aging</w:t>
      </w:r>
    </w:p>
    <w:p>
      <w:pPr>
        <w:pStyle w:val="BodyText"/>
        <w:spacing w:before="7"/>
        <w:ind w:left="220" w:right="4948"/>
      </w:pPr>
      <w:r>
        <w:rPr/>
        <w:t>Co-Chair,</w:t>
      </w:r>
      <w:r>
        <w:rPr>
          <w:spacing w:val="-16"/>
        </w:rPr>
        <w:t> </w:t>
      </w:r>
      <w:r>
        <w:rPr/>
        <w:t>CCD</w:t>
      </w:r>
      <w:r>
        <w:rPr>
          <w:spacing w:val="-15"/>
        </w:rPr>
        <w:t> </w:t>
      </w:r>
      <w:r>
        <w:rPr/>
        <w:t>Housing</w:t>
      </w:r>
      <w:r>
        <w:rPr>
          <w:spacing w:val="-15"/>
        </w:rPr>
        <w:t> </w:t>
      </w:r>
      <w:r>
        <w:rPr/>
        <w:t>Task</w:t>
      </w:r>
      <w:r>
        <w:rPr>
          <w:spacing w:val="-16"/>
        </w:rPr>
        <w:t> </w:t>
      </w:r>
      <w:r>
        <w:rPr/>
        <w:t>Force </w:t>
      </w:r>
      <w:hyperlink r:id="rId11">
        <w:r>
          <w:rPr>
            <w:color w:val="0000FF"/>
            <w:spacing w:val="-2"/>
            <w:u w:val="single" w:color="0000FF"/>
          </w:rPr>
          <w:t>jkye@justiceinaging.org</w:t>
        </w:r>
      </w:hyperlink>
    </w:p>
    <w:p>
      <w:pPr>
        <w:pStyle w:val="BodyText"/>
        <w:spacing w:before="6"/>
      </w:pPr>
    </w:p>
    <w:p>
      <w:pPr>
        <w:pStyle w:val="BodyText"/>
        <w:ind w:left="220" w:right="5666"/>
      </w:pPr>
      <w:r>
        <w:rPr/>
        <w:t>Greg</w:t>
      </w:r>
      <w:r>
        <w:rPr>
          <w:spacing w:val="-16"/>
        </w:rPr>
        <w:t> </w:t>
      </w:r>
      <w:r>
        <w:rPr/>
        <w:t>Robinson,</w:t>
      </w:r>
      <w:r>
        <w:rPr>
          <w:spacing w:val="-15"/>
        </w:rPr>
        <w:t> </w:t>
      </w:r>
      <w:r>
        <w:rPr/>
        <w:t>Autistic</w:t>
      </w:r>
      <w:r>
        <w:rPr>
          <w:spacing w:val="-15"/>
        </w:rPr>
        <w:t> </w:t>
      </w:r>
      <w:r>
        <w:rPr/>
        <w:t>Self</w:t>
      </w:r>
      <w:r>
        <w:rPr>
          <w:spacing w:val="-16"/>
        </w:rPr>
        <w:t> </w:t>
      </w:r>
      <w:r>
        <w:rPr/>
        <w:t>Advocacy</w:t>
      </w:r>
      <w:r>
        <w:rPr>
          <w:spacing w:val="-15"/>
        </w:rPr>
        <w:t> </w:t>
      </w:r>
      <w:r>
        <w:rPr/>
        <w:t>Network Co-Chair, CCD Housing Task Force </w:t>
      </w:r>
      <w:hyperlink r:id="rId12">
        <w:r>
          <w:rPr>
            <w:color w:val="0000FF"/>
            <w:spacing w:val="-2"/>
            <w:u w:val="single" w:color="0000FF"/>
          </w:rPr>
          <w:t>grobinson@autisticadvocacy.org</w:t>
        </w:r>
      </w:hyperlink>
    </w:p>
    <w:sectPr>
      <w:pgSz w:w="12240" w:h="15840"/>
      <w:pgMar w:header="0" w:footer="1015" w:top="1280" w:bottom="1200" w:left="86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mc:AlternateContent>
        <mc:Choice Requires="wps">
          <w:drawing>
            <wp:anchor distT="0" distB="0" distL="0" distR="0" allowOverlap="1" layoutInCell="1" locked="0" behindDoc="1" simplePos="0" relativeHeight="487532544">
              <wp:simplePos x="0" y="0"/>
              <wp:positionH relativeFrom="page">
                <wp:posOffset>3810634</wp:posOffset>
              </wp:positionH>
              <wp:positionV relativeFrom="page">
                <wp:posOffset>9223890</wp:posOffset>
              </wp:positionV>
              <wp:extent cx="165735"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94945"/>
                      </a:xfrm>
                      <a:prstGeom prst="rect">
                        <a:avLst/>
                      </a:prstGeom>
                    </wps:spPr>
                    <wps:txbx>
                      <w:txbxContent>
                        <w:p>
                          <w:pPr>
                            <w:pStyle w:val="BodyText"/>
                            <w:spacing w:before="21"/>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2</w:t>
                          </w:r>
                          <w:r>
                            <w:rPr>
                              <w:rFonts w:ascii="Tahom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49988pt;margin-top:726.290588pt;width:13.05pt;height:15.35pt;mso-position-horizontal-relative:page;mso-position-vertical-relative:page;z-index:-15783936" type="#_x0000_t202" id="docshape1" filled="false" stroked="false">
              <v:textbox inset="0,0,0,0">
                <w:txbxContent>
                  <w:p>
                    <w:pPr>
                      <w:pStyle w:val="BodyText"/>
                      <w:spacing w:before="21"/>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2</w:t>
                    </w:r>
                    <w:r>
                      <w:rPr>
                        <w:rFonts w:ascii="Tahoma"/>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0" w:hanging="361"/>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839"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911" w:hanging="360"/>
      </w:pPr>
      <w:rPr>
        <w:rFonts w:hint="default"/>
        <w:lang w:val="en-US" w:eastAsia="en-US" w:bidi="ar-SA"/>
      </w:rPr>
    </w:lvl>
    <w:lvl w:ilvl="3">
      <w:start w:val="0"/>
      <w:numFmt w:val="bullet"/>
      <w:lvlText w:val="•"/>
      <w:lvlJc w:val="left"/>
      <w:pPr>
        <w:ind w:left="2982" w:hanging="360"/>
      </w:pPr>
      <w:rPr>
        <w:rFonts w:hint="default"/>
        <w:lang w:val="en-US" w:eastAsia="en-US" w:bidi="ar-SA"/>
      </w:rPr>
    </w:lvl>
    <w:lvl w:ilvl="4">
      <w:start w:val="0"/>
      <w:numFmt w:val="bullet"/>
      <w:lvlText w:val="•"/>
      <w:lvlJc w:val="left"/>
      <w:pPr>
        <w:ind w:left="405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195"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33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19"/>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83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huduser.gov/portal/publications/Worst-Case-Housing-Needs-2023.html" TargetMode="External"/><Relationship Id="rId8" Type="http://schemas.openxmlformats.org/officeDocument/2006/relationships/hyperlink" Target="https://nationalfairhousing.org/resource/2024-fair-housing-trends-report" TargetMode="External"/><Relationship Id="rId9" Type="http://schemas.openxmlformats.org/officeDocument/2006/relationships/hyperlink" Target="https://www.huduser.gov/portal/publications/MentalDisabilities-FinalPaper.html" TargetMode="External"/><Relationship Id="rId10" Type="http://schemas.openxmlformats.org/officeDocument/2006/relationships/hyperlink" Target="mailto:allie@thekelsey.org" TargetMode="External"/><Relationship Id="rId11" Type="http://schemas.openxmlformats.org/officeDocument/2006/relationships/hyperlink" Target="mailto:jkye@justiceinaging.org" TargetMode="External"/><Relationship Id="rId12" Type="http://schemas.openxmlformats.org/officeDocument/2006/relationships/hyperlink" Target="mailto:grobinson@autisticadvocacy.org"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Sloane</dc:creator>
  <dcterms:created xsi:type="dcterms:W3CDTF">2025-08-09T00:19:46Z</dcterms:created>
  <dcterms:modified xsi:type="dcterms:W3CDTF">2025-08-09T00:19:46Z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2019</vt:lpwstr>
  </property>
  <property fmtid="{D5CDD505-2E9C-101B-9397-08002B2CF9AE}" pid="4" name="LastSaved">
    <vt:filetime>2025-08-09T00:00:00Z</vt:filetime>
  </property>
  <property fmtid="{D5CDD505-2E9C-101B-9397-08002B2CF9AE}" pid="5" name="Producer">
    <vt:lpwstr>Microsoft® Word 2019</vt:lpwstr>
  </property>
</Properties>
</file>