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0"/>
      </w:pPr>
      <w:r>
        <w:rPr/>
        <w:t>August</w:t>
      </w:r>
      <w:r>
        <w:rPr>
          <w:spacing w:val="-2"/>
        </w:rPr>
        <w:t> </w:t>
      </w:r>
      <w:r>
        <w:rPr/>
        <w:t>5,</w:t>
      </w:r>
      <w:r>
        <w:rPr>
          <w:spacing w:val="-2"/>
        </w:rPr>
        <w:t> </w:t>
      </w:r>
      <w:r>
        <w:rPr>
          <w:spacing w:val="-4"/>
        </w:rPr>
        <w:t>2025</w:t>
      </w:r>
    </w:p>
    <w:p>
      <w:pPr>
        <w:pStyle w:val="BodyText"/>
        <w:spacing w:before="3"/>
        <w:ind w:left="0"/>
      </w:pPr>
    </w:p>
    <w:p>
      <w:pPr>
        <w:pStyle w:val="BodyText"/>
        <w:spacing w:before="1"/>
        <w:ind w:right="6635"/>
      </w:pPr>
      <w:r>
        <w:rPr/>
        <w:t>The</w:t>
      </w:r>
      <w:r>
        <w:rPr>
          <w:spacing w:val="-12"/>
        </w:rPr>
        <w:t> </w:t>
      </w:r>
      <w:r>
        <w:rPr/>
        <w:t>Honorable</w:t>
      </w:r>
      <w:r>
        <w:rPr>
          <w:spacing w:val="-12"/>
        </w:rPr>
        <w:t> </w:t>
      </w:r>
      <w:r>
        <w:rPr/>
        <w:t>Scott</w:t>
      </w:r>
      <w:r>
        <w:rPr>
          <w:spacing w:val="-12"/>
        </w:rPr>
        <w:t> </w:t>
      </w:r>
      <w:r>
        <w:rPr/>
        <w:t>Turner </w:t>
      </w:r>
      <w:r>
        <w:rPr>
          <w:spacing w:val="-2"/>
        </w:rPr>
        <w:t>Secretary</w:t>
      </w:r>
    </w:p>
    <w:p>
      <w:pPr>
        <w:pStyle w:val="BodyText"/>
        <w:ind w:right="4767"/>
      </w:pPr>
      <w:r>
        <w:rPr/>
        <w:t>U.S.</w:t>
      </w:r>
      <w:r>
        <w:rPr>
          <w:spacing w:val="-7"/>
        </w:rPr>
        <w:t> </w:t>
      </w:r>
      <w:r>
        <w:rPr/>
        <w:t>Department</w:t>
      </w:r>
      <w:r>
        <w:rPr>
          <w:spacing w:val="-7"/>
        </w:rPr>
        <w:t> </w:t>
      </w:r>
      <w:r>
        <w:rPr/>
        <w:t>of</w:t>
      </w:r>
      <w:r>
        <w:rPr>
          <w:spacing w:val="-7"/>
        </w:rPr>
        <w:t> </w:t>
      </w:r>
      <w:r>
        <w:rPr/>
        <w:t>Housing</w:t>
      </w:r>
      <w:r>
        <w:rPr>
          <w:spacing w:val="-7"/>
        </w:rPr>
        <w:t> </w:t>
      </w:r>
      <w:r>
        <w:rPr/>
        <w:t>and</w:t>
      </w:r>
      <w:r>
        <w:rPr>
          <w:spacing w:val="-7"/>
        </w:rPr>
        <w:t> </w:t>
      </w:r>
      <w:r>
        <w:rPr/>
        <w:t>Urban</w:t>
      </w:r>
      <w:r>
        <w:rPr>
          <w:spacing w:val="-7"/>
        </w:rPr>
        <w:t> </w:t>
      </w:r>
      <w:r>
        <w:rPr/>
        <w:t>Development 451 7th Street SW</w:t>
      </w:r>
    </w:p>
    <w:p>
      <w:pPr>
        <w:pStyle w:val="BodyText"/>
        <w:ind w:left="119"/>
      </w:pPr>
      <w:r>
        <w:rPr/>
        <w:t>Washington,</w:t>
      </w:r>
      <w:r>
        <w:rPr>
          <w:spacing w:val="-4"/>
        </w:rPr>
        <w:t> </w:t>
      </w:r>
      <w:r>
        <w:rPr/>
        <w:t>DC</w:t>
      </w:r>
      <w:r>
        <w:rPr>
          <w:spacing w:val="-2"/>
        </w:rPr>
        <w:t> 20410</w:t>
      </w:r>
    </w:p>
    <w:p>
      <w:pPr>
        <w:pStyle w:val="BodyText"/>
        <w:spacing w:before="4"/>
        <w:ind w:left="0"/>
      </w:pPr>
    </w:p>
    <w:p>
      <w:pPr>
        <w:pStyle w:val="BodyText"/>
        <w:tabs>
          <w:tab w:pos="2279" w:val="left" w:leader="none"/>
        </w:tabs>
        <w:spacing w:before="1"/>
        <w:ind w:left="2279" w:right="216" w:hanging="720"/>
      </w:pPr>
      <w:r>
        <w:rPr>
          <w:spacing w:val="-4"/>
        </w:rPr>
        <w:t>Re:</w:t>
      </w:r>
      <w:r>
        <w:rPr/>
        <w:tab/>
        <w:t>Reported</w:t>
      </w:r>
      <w:r>
        <w:rPr>
          <w:spacing w:val="-3"/>
        </w:rPr>
        <w:t> </w:t>
      </w:r>
      <w:r>
        <w:rPr/>
        <w:t>Plan</w:t>
      </w:r>
      <w:r>
        <w:rPr>
          <w:spacing w:val="-3"/>
        </w:rPr>
        <w:t> </w:t>
      </w:r>
      <w:r>
        <w:rPr/>
        <w:t>to</w:t>
      </w:r>
      <w:r>
        <w:rPr>
          <w:spacing w:val="-3"/>
        </w:rPr>
        <w:t> </w:t>
      </w:r>
      <w:r>
        <w:rPr/>
        <w:t>Dismiss</w:t>
      </w:r>
      <w:r>
        <w:rPr>
          <w:spacing w:val="-3"/>
        </w:rPr>
        <w:t> </w:t>
      </w:r>
      <w:r>
        <w:rPr/>
        <w:t>or</w:t>
      </w:r>
      <w:r>
        <w:rPr>
          <w:spacing w:val="-3"/>
        </w:rPr>
        <w:t> </w:t>
      </w:r>
      <w:r>
        <w:rPr/>
        <w:t>Issue</w:t>
      </w:r>
      <w:r>
        <w:rPr>
          <w:spacing w:val="-3"/>
        </w:rPr>
        <w:t> </w:t>
      </w:r>
      <w:r>
        <w:rPr/>
        <w:t>No</w:t>
      </w:r>
      <w:r>
        <w:rPr>
          <w:spacing w:val="-3"/>
        </w:rPr>
        <w:t> </w:t>
      </w:r>
      <w:r>
        <w:rPr/>
        <w:t>Cause</w:t>
      </w:r>
      <w:r>
        <w:rPr>
          <w:spacing w:val="-3"/>
        </w:rPr>
        <w:t> </w:t>
      </w:r>
      <w:r>
        <w:rPr/>
        <w:t>Findings</w:t>
      </w:r>
      <w:r>
        <w:rPr>
          <w:spacing w:val="-3"/>
        </w:rPr>
        <w:t> </w:t>
      </w:r>
      <w:r>
        <w:rPr/>
        <w:t>in</w:t>
      </w:r>
      <w:r>
        <w:rPr>
          <w:spacing w:val="-3"/>
        </w:rPr>
        <w:t> </w:t>
      </w:r>
      <w:r>
        <w:rPr/>
        <w:t>HUD</w:t>
      </w:r>
      <w:r>
        <w:rPr>
          <w:spacing w:val="-4"/>
        </w:rPr>
        <w:t> </w:t>
      </w:r>
      <w:r>
        <w:rPr/>
        <w:t>Investigations</w:t>
      </w:r>
      <w:r>
        <w:rPr>
          <w:spacing w:val="-3"/>
        </w:rPr>
        <w:t> </w:t>
      </w:r>
      <w:r>
        <w:rPr/>
        <w:t>and Cases that Allege Disparate Impact Discrimination</w:t>
      </w:r>
    </w:p>
    <w:p>
      <w:pPr>
        <w:pStyle w:val="BodyText"/>
        <w:spacing w:before="4"/>
        <w:ind w:left="0"/>
      </w:pPr>
    </w:p>
    <w:p>
      <w:pPr>
        <w:pStyle w:val="BodyText"/>
        <w:ind w:left="119"/>
      </w:pPr>
      <w:r>
        <w:rPr/>
        <w:t>Dear</w:t>
      </w:r>
      <w:r>
        <w:rPr>
          <w:spacing w:val="-2"/>
        </w:rPr>
        <w:t> </w:t>
      </w:r>
      <w:r>
        <w:rPr/>
        <w:t>Secretary</w:t>
      </w:r>
      <w:r>
        <w:rPr>
          <w:spacing w:val="-2"/>
        </w:rPr>
        <w:t> Turner:</w:t>
      </w:r>
    </w:p>
    <w:p>
      <w:pPr>
        <w:pStyle w:val="BodyText"/>
        <w:spacing w:before="3"/>
        <w:ind w:left="0"/>
      </w:pPr>
    </w:p>
    <w:p>
      <w:pPr>
        <w:pStyle w:val="BodyText"/>
        <w:ind w:left="119" w:right="116"/>
      </w:pPr>
      <w:r>
        <w:rPr/>
        <w:t>The undersigned civil rights, consumer, and real estate organizations write to express grave concern about reports that the U.S. Department of Housing and Urban Development (HUD) plans to dismiss, issue no probable cause findings, or reverse the results of fair housing investigations simply because</w:t>
      </w:r>
      <w:r>
        <w:rPr>
          <w:spacing w:val="40"/>
        </w:rPr>
        <w:t> </w:t>
      </w:r>
      <w:r>
        <w:rPr/>
        <w:t>they allege disparate</w:t>
      </w:r>
      <w:r>
        <w:rPr>
          <w:spacing w:val="-1"/>
        </w:rPr>
        <w:t> </w:t>
      </w:r>
      <w:r>
        <w:rPr/>
        <w:t>impact discrimination. As reported by ProPublica, HUD</w:t>
      </w:r>
      <w:r>
        <w:rPr>
          <w:spacing w:val="-1"/>
        </w:rPr>
        <w:t> </w:t>
      </w:r>
      <w:r>
        <w:rPr/>
        <w:t>is preparing to</w:t>
      </w:r>
      <w:r>
        <w:rPr>
          <w:spacing w:val="-2"/>
        </w:rPr>
        <w:t> </w:t>
      </w:r>
      <w:r>
        <w:rPr/>
        <w:t>close</w:t>
      </w:r>
      <w:r>
        <w:rPr>
          <w:spacing w:val="-1"/>
        </w:rPr>
        <w:t> </w:t>
      </w:r>
      <w:r>
        <w:rPr/>
        <w:t>seven major</w:t>
      </w:r>
      <w:r>
        <w:rPr>
          <w:spacing w:val="-3"/>
        </w:rPr>
        <w:t> </w:t>
      </w:r>
      <w:r>
        <w:rPr/>
        <w:t>housing</w:t>
      </w:r>
      <w:r>
        <w:rPr>
          <w:spacing w:val="-3"/>
        </w:rPr>
        <w:t> </w:t>
      </w:r>
      <w:r>
        <w:rPr/>
        <w:t>discrimination</w:t>
      </w:r>
      <w:r>
        <w:rPr>
          <w:spacing w:val="-3"/>
        </w:rPr>
        <w:t> </w:t>
      </w:r>
      <w:r>
        <w:rPr/>
        <w:t>cases,</w:t>
      </w:r>
      <w:r>
        <w:rPr>
          <w:spacing w:val="-4"/>
        </w:rPr>
        <w:t> </w:t>
      </w:r>
      <w:r>
        <w:rPr/>
        <w:t>including</w:t>
      </w:r>
      <w:r>
        <w:rPr>
          <w:spacing w:val="-3"/>
        </w:rPr>
        <w:t> </w:t>
      </w:r>
      <w:r>
        <w:rPr/>
        <w:t>three</w:t>
      </w:r>
      <w:r>
        <w:rPr>
          <w:spacing w:val="-3"/>
        </w:rPr>
        <w:t> </w:t>
      </w:r>
      <w:r>
        <w:rPr/>
        <w:t>in</w:t>
      </w:r>
      <w:r>
        <w:rPr>
          <w:spacing w:val="-3"/>
        </w:rPr>
        <w:t> </w:t>
      </w:r>
      <w:r>
        <w:rPr/>
        <w:t>which</w:t>
      </w:r>
      <w:r>
        <w:rPr>
          <w:spacing w:val="-4"/>
        </w:rPr>
        <w:t> </w:t>
      </w:r>
      <w:r>
        <w:rPr/>
        <w:t>HUD</w:t>
      </w:r>
      <w:r>
        <w:rPr>
          <w:spacing w:val="-4"/>
        </w:rPr>
        <w:t> </w:t>
      </w:r>
      <w:r>
        <w:rPr/>
        <w:t>had</w:t>
      </w:r>
      <w:r>
        <w:rPr>
          <w:spacing w:val="-3"/>
        </w:rPr>
        <w:t> </w:t>
      </w:r>
      <w:r>
        <w:rPr/>
        <w:t>already</w:t>
      </w:r>
      <w:r>
        <w:rPr>
          <w:spacing w:val="-3"/>
        </w:rPr>
        <w:t> </w:t>
      </w:r>
      <w:r>
        <w:rPr/>
        <w:t>determined</w:t>
      </w:r>
      <w:r>
        <w:rPr>
          <w:spacing w:val="-4"/>
        </w:rPr>
        <w:t> </w:t>
      </w:r>
      <w:r>
        <w:rPr/>
        <w:t>that</w:t>
      </w:r>
      <w:r>
        <w:rPr>
          <w:spacing w:val="-3"/>
        </w:rPr>
        <w:t> </w:t>
      </w:r>
      <w:r>
        <w:rPr/>
        <w:t>state</w:t>
      </w:r>
      <w:r>
        <w:rPr>
          <w:spacing w:val="-4"/>
        </w:rPr>
        <w:t> </w:t>
      </w:r>
      <w:r>
        <w:rPr/>
        <w:t>and local governments concentrated environmental hazards and increased residential segregation in neighborhoods of color (</w:t>
      </w:r>
      <w:hyperlink r:id="rId6">
        <w:r>
          <w:rPr>
            <w:color w:val="0000FF"/>
            <w:u w:val="single" w:color="0000FF"/>
          </w:rPr>
          <w:t>ProPublica</w:t>
        </w:r>
      </w:hyperlink>
      <w:r>
        <w:rPr>
          <w:u w:val="none"/>
        </w:rPr>
        <w:t>). These cases allege both disparate treatment and disparate impact discrimination under federal civil rights laws—including disparate impact discrimination under the Fair Housing Act, which has been approved by Congress and upheld by the Supreme Court. Such a retreat not only harms millions of people and imperils vulnerable communities, it also contradicts settled law and HUD’s own regulations. Reversing or dismissing meritorious fair housing cases is a dereliction of duty and a violation of your sworn testimony to uphold and vigorously enforce the Fair Housing Act (</w:t>
      </w:r>
      <w:hyperlink r:id="rId7">
        <w:r>
          <w:rPr>
            <w:color w:val="0000FF"/>
            <w:u w:val="single" w:color="0000FF"/>
          </w:rPr>
          <w:t>CSPAN Video Clip</w:t>
        </w:r>
      </w:hyperlink>
      <w:r>
        <w:rPr>
          <w:u w:val="none"/>
        </w:rPr>
        <w:t>).</w:t>
      </w:r>
    </w:p>
    <w:p>
      <w:pPr>
        <w:pStyle w:val="BodyText"/>
        <w:spacing w:before="4"/>
        <w:ind w:left="0"/>
      </w:pPr>
    </w:p>
    <w:p>
      <w:pPr>
        <w:pStyle w:val="BodyText"/>
        <w:ind w:right="152"/>
      </w:pPr>
      <w:r>
        <w:rPr/>
        <w:t>The Fair Housing Act prohibits not only acts of intentional discrimination, but also policies that have a disparate impact on people in certain protected classes without sufficient justification. This rule is a longstanding protection, deeply rooted in the caselaw applying the Fair Housing Act, and by now embedded</w:t>
      </w:r>
      <w:r>
        <w:rPr>
          <w:spacing w:val="-5"/>
        </w:rPr>
        <w:t> </w:t>
      </w:r>
      <w:r>
        <w:rPr/>
        <w:t>in</w:t>
      </w:r>
      <w:r>
        <w:rPr>
          <w:spacing w:val="-3"/>
        </w:rPr>
        <w:t> </w:t>
      </w:r>
      <w:r>
        <w:rPr/>
        <w:t>industry</w:t>
      </w:r>
      <w:r>
        <w:rPr>
          <w:spacing w:val="-3"/>
        </w:rPr>
        <w:t> </w:t>
      </w:r>
      <w:r>
        <w:rPr/>
        <w:t>practices,</w:t>
      </w:r>
      <w:r>
        <w:rPr>
          <w:spacing w:val="-3"/>
        </w:rPr>
        <w:t> </w:t>
      </w:r>
      <w:r>
        <w:rPr/>
        <w:t>that</w:t>
      </w:r>
      <w:r>
        <w:rPr>
          <w:spacing w:val="-4"/>
        </w:rPr>
        <w:t> </w:t>
      </w:r>
      <w:r>
        <w:rPr/>
        <w:t>prevents</w:t>
      </w:r>
      <w:r>
        <w:rPr>
          <w:spacing w:val="-3"/>
        </w:rPr>
        <w:t> </w:t>
      </w:r>
      <w:r>
        <w:rPr/>
        <w:t>unjustified</w:t>
      </w:r>
      <w:r>
        <w:rPr>
          <w:spacing w:val="-3"/>
        </w:rPr>
        <w:t> </w:t>
      </w:r>
      <w:r>
        <w:rPr/>
        <w:t>policies</w:t>
      </w:r>
      <w:r>
        <w:rPr>
          <w:spacing w:val="-4"/>
        </w:rPr>
        <w:t> </w:t>
      </w:r>
      <w:r>
        <w:rPr/>
        <w:t>that</w:t>
      </w:r>
      <w:r>
        <w:rPr>
          <w:spacing w:val="-3"/>
        </w:rPr>
        <w:t> </w:t>
      </w:r>
      <w:r>
        <w:rPr/>
        <w:t>unfairly</w:t>
      </w:r>
      <w:r>
        <w:rPr>
          <w:spacing w:val="-3"/>
        </w:rPr>
        <w:t> </w:t>
      </w:r>
      <w:r>
        <w:rPr/>
        <w:t>burden</w:t>
      </w:r>
      <w:r>
        <w:rPr>
          <w:spacing w:val="-5"/>
        </w:rPr>
        <w:t> </w:t>
      </w:r>
      <w:r>
        <w:rPr/>
        <w:t>or</w:t>
      </w:r>
      <w:r>
        <w:rPr>
          <w:spacing w:val="-3"/>
        </w:rPr>
        <w:t> </w:t>
      </w:r>
      <w:r>
        <w:rPr/>
        <w:t>exclude</w:t>
      </w:r>
      <w:r>
        <w:rPr>
          <w:spacing w:val="-3"/>
        </w:rPr>
        <w:t> </w:t>
      </w:r>
      <w:r>
        <w:rPr/>
        <w:t>people. It requires landlords, real estate companies, municipalities, banks, insurance companies, and other entities to choose policies and implement practices that apply fairly to all persons. When there is a policy or practice that perpetuates a discriminatory effect against a protected group of people, and there is no business necessity or justification for the policy or practice, entities must opt for a policy with a less discriminatory effect or face legal consequences.</w:t>
      </w:r>
    </w:p>
    <w:p>
      <w:pPr>
        <w:pStyle w:val="BodyText"/>
        <w:spacing w:before="4"/>
        <w:ind w:left="0"/>
      </w:pPr>
    </w:p>
    <w:p>
      <w:pPr>
        <w:pStyle w:val="BodyText"/>
        <w:ind w:left="119" w:right="10"/>
      </w:pPr>
      <w:r>
        <w:rPr/>
        <w:t>In </w:t>
      </w:r>
      <w:r>
        <w:rPr>
          <w:i/>
        </w:rPr>
        <w:t>Texas Dep’t of Housing &amp; Community Affairs v. Inclusive Communities Project, Inc</w:t>
      </w:r>
      <w:r>
        <w:rPr/>
        <w:t>., 576 U.S. 519, 545</w:t>
      </w:r>
      <w:r>
        <w:rPr>
          <w:spacing w:val="-3"/>
        </w:rPr>
        <w:t> </w:t>
      </w:r>
      <w:r>
        <w:rPr/>
        <w:t>(2015),</w:t>
      </w:r>
      <w:r>
        <w:rPr>
          <w:spacing w:val="-4"/>
        </w:rPr>
        <w:t> </w:t>
      </w:r>
      <w:r>
        <w:rPr/>
        <w:t>the</w:t>
      </w:r>
      <w:r>
        <w:rPr>
          <w:spacing w:val="-3"/>
        </w:rPr>
        <w:t> </w:t>
      </w:r>
      <w:r>
        <w:rPr/>
        <w:t>Supreme</w:t>
      </w:r>
      <w:r>
        <w:rPr>
          <w:spacing w:val="-4"/>
        </w:rPr>
        <w:t> </w:t>
      </w:r>
      <w:r>
        <w:rPr/>
        <w:t>Court</w:t>
      </w:r>
      <w:r>
        <w:rPr>
          <w:spacing w:val="-3"/>
        </w:rPr>
        <w:t> </w:t>
      </w:r>
      <w:r>
        <w:rPr/>
        <w:t>held</w:t>
      </w:r>
      <w:r>
        <w:rPr>
          <w:spacing w:val="-4"/>
        </w:rPr>
        <w:t> </w:t>
      </w:r>
      <w:r>
        <w:rPr/>
        <w:t>that</w:t>
      </w:r>
      <w:r>
        <w:rPr>
          <w:spacing w:val="-3"/>
        </w:rPr>
        <w:t> </w:t>
      </w:r>
      <w:r>
        <w:rPr/>
        <w:t>“disparate-impact</w:t>
      </w:r>
      <w:r>
        <w:rPr>
          <w:spacing w:val="-4"/>
        </w:rPr>
        <w:t> </w:t>
      </w:r>
      <w:r>
        <w:rPr/>
        <w:t>claims</w:t>
      </w:r>
      <w:r>
        <w:rPr>
          <w:spacing w:val="-3"/>
        </w:rPr>
        <w:t> </w:t>
      </w:r>
      <w:r>
        <w:rPr/>
        <w:t>are</w:t>
      </w:r>
      <w:r>
        <w:rPr>
          <w:spacing w:val="-3"/>
        </w:rPr>
        <w:t> </w:t>
      </w:r>
      <w:r>
        <w:rPr/>
        <w:t>cognizable</w:t>
      </w:r>
      <w:r>
        <w:rPr>
          <w:spacing w:val="-3"/>
        </w:rPr>
        <w:t> </w:t>
      </w:r>
      <w:r>
        <w:rPr/>
        <w:t>under</w:t>
      </w:r>
      <w:r>
        <w:rPr>
          <w:spacing w:val="-4"/>
        </w:rPr>
        <w:t> </w:t>
      </w:r>
      <w:r>
        <w:rPr/>
        <w:t>the</w:t>
      </w:r>
      <w:r>
        <w:rPr>
          <w:spacing w:val="-3"/>
        </w:rPr>
        <w:t> </w:t>
      </w:r>
      <w:r>
        <w:rPr/>
        <w:t>Fair</w:t>
      </w:r>
      <w:r>
        <w:rPr>
          <w:spacing w:val="-3"/>
        </w:rPr>
        <w:t> </w:t>
      </w:r>
      <w:r>
        <w:rPr/>
        <w:t>Housing Act.” The Supreme Court’s decision reaffirmed the Fair Housing Act’s broad remedial purpose. The Court</w:t>
      </w:r>
      <w:r>
        <w:rPr>
          <w:spacing w:val="-2"/>
        </w:rPr>
        <w:t> </w:t>
      </w:r>
      <w:r>
        <w:rPr/>
        <w:t>pointed</w:t>
      </w:r>
      <w:r>
        <w:rPr>
          <w:spacing w:val="-2"/>
        </w:rPr>
        <w:t> </w:t>
      </w:r>
      <w:r>
        <w:rPr/>
        <w:t>to</w:t>
      </w:r>
      <w:r>
        <w:rPr>
          <w:spacing w:val="-2"/>
        </w:rPr>
        <w:t> </w:t>
      </w:r>
      <w:r>
        <w:rPr/>
        <w:t>the</w:t>
      </w:r>
      <w:r>
        <w:rPr>
          <w:spacing w:val="-3"/>
        </w:rPr>
        <w:t> </w:t>
      </w:r>
      <w:r>
        <w:rPr/>
        <w:t>fact</w:t>
      </w:r>
      <w:r>
        <w:rPr>
          <w:spacing w:val="-3"/>
        </w:rPr>
        <w:t> </w:t>
      </w:r>
      <w:r>
        <w:rPr/>
        <w:t>that,</w:t>
      </w:r>
      <w:r>
        <w:rPr>
          <w:spacing w:val="-2"/>
        </w:rPr>
        <w:t> </w:t>
      </w:r>
      <w:r>
        <w:rPr/>
        <w:t>since</w:t>
      </w:r>
      <w:r>
        <w:rPr>
          <w:spacing w:val="-3"/>
        </w:rPr>
        <w:t> </w:t>
      </w:r>
      <w:r>
        <w:rPr/>
        <w:t>the</w:t>
      </w:r>
      <w:r>
        <w:rPr>
          <w:spacing w:val="-2"/>
        </w:rPr>
        <w:t> </w:t>
      </w:r>
      <w:r>
        <w:rPr/>
        <w:t>Act</w:t>
      </w:r>
      <w:r>
        <w:rPr>
          <w:spacing w:val="-2"/>
        </w:rPr>
        <w:t> </w:t>
      </w:r>
      <w:r>
        <w:rPr/>
        <w:t>was</w:t>
      </w:r>
      <w:r>
        <w:rPr>
          <w:spacing w:val="-2"/>
        </w:rPr>
        <w:t> </w:t>
      </w:r>
      <w:r>
        <w:rPr/>
        <w:t>adopted,</w:t>
      </w:r>
      <w:r>
        <w:rPr>
          <w:spacing w:val="-2"/>
        </w:rPr>
        <w:t> </w:t>
      </w:r>
      <w:r>
        <w:rPr/>
        <w:t>every</w:t>
      </w:r>
      <w:r>
        <w:rPr>
          <w:spacing w:val="-2"/>
        </w:rPr>
        <w:t> </w:t>
      </w:r>
      <w:r>
        <w:rPr/>
        <w:t>Court</w:t>
      </w:r>
      <w:r>
        <w:rPr>
          <w:spacing w:val="-2"/>
        </w:rPr>
        <w:t> </w:t>
      </w:r>
      <w:r>
        <w:rPr/>
        <w:t>of</w:t>
      </w:r>
      <w:r>
        <w:rPr>
          <w:spacing w:val="-2"/>
        </w:rPr>
        <w:t> </w:t>
      </w:r>
      <w:r>
        <w:rPr/>
        <w:t>Appeals</w:t>
      </w:r>
      <w:r>
        <w:rPr>
          <w:spacing w:val="-2"/>
        </w:rPr>
        <w:t> </w:t>
      </w:r>
      <w:r>
        <w:rPr/>
        <w:t>addressing</w:t>
      </w:r>
      <w:r>
        <w:rPr>
          <w:spacing w:val="-2"/>
        </w:rPr>
        <w:t> </w:t>
      </w:r>
      <w:r>
        <w:rPr/>
        <w:t>the</w:t>
      </w:r>
      <w:r>
        <w:rPr>
          <w:spacing w:val="-2"/>
        </w:rPr>
        <w:t> </w:t>
      </w:r>
      <w:r>
        <w:rPr/>
        <w:t>question had upheld this legal theory for proving discrimination. </w:t>
      </w:r>
      <w:r>
        <w:rPr>
          <w:i/>
        </w:rPr>
        <w:t>See id. </w:t>
      </w:r>
      <w:r>
        <w:rPr/>
        <w:t>at 535-36 (pointing to the “unanimous precedent” of all nine Courts of Appeals to have considered the question). Against that background, the Supreme Court held that Congress ratified disparate impact liability when it amended the Act in 1988 to clarify and strengthen its enforcement mechanisms. HUD, too, has consistently construed the Fair Housing Act to include disparate impact. Regulations to that effect remain on the books and bind your</w:t>
      </w:r>
    </w:p>
    <w:p>
      <w:pPr>
        <w:spacing w:after="0"/>
        <w:sectPr>
          <w:footerReference w:type="default" r:id="rId5"/>
          <w:type w:val="continuous"/>
          <w:pgSz w:w="12240" w:h="15840"/>
          <w:pgMar w:header="0" w:footer="1078" w:top="1380" w:bottom="1260" w:left="960" w:right="980"/>
          <w:pgNumType w:start="1"/>
        </w:sectPr>
      </w:pPr>
    </w:p>
    <w:p>
      <w:pPr>
        <w:pStyle w:val="BodyText"/>
        <w:spacing w:before="60"/>
        <w:ind w:right="216"/>
      </w:pPr>
      <w:r>
        <w:rPr/>
        <w:t>agency,</w:t>
      </w:r>
      <w:r>
        <w:rPr>
          <w:spacing w:val="-2"/>
        </w:rPr>
        <w:t> </w:t>
      </w:r>
      <w:r>
        <w:rPr/>
        <w:t>no</w:t>
      </w:r>
      <w:r>
        <w:rPr>
          <w:spacing w:val="-4"/>
        </w:rPr>
        <w:t> </w:t>
      </w:r>
      <w:r>
        <w:rPr/>
        <w:t>matter</w:t>
      </w:r>
      <w:r>
        <w:rPr>
          <w:spacing w:val="-2"/>
        </w:rPr>
        <w:t> </w:t>
      </w:r>
      <w:r>
        <w:rPr/>
        <w:t>what</w:t>
      </w:r>
      <w:r>
        <w:rPr>
          <w:spacing w:val="-3"/>
        </w:rPr>
        <w:t> </w:t>
      </w:r>
      <w:r>
        <w:rPr/>
        <w:t>an</w:t>
      </w:r>
      <w:r>
        <w:rPr>
          <w:spacing w:val="-2"/>
        </w:rPr>
        <w:t> </w:t>
      </w:r>
      <w:r>
        <w:rPr/>
        <w:t>Executive</w:t>
      </w:r>
      <w:r>
        <w:rPr>
          <w:spacing w:val="-2"/>
        </w:rPr>
        <w:t> </w:t>
      </w:r>
      <w:r>
        <w:rPr/>
        <w:t>Order</w:t>
      </w:r>
      <w:r>
        <w:rPr>
          <w:spacing w:val="-2"/>
        </w:rPr>
        <w:t> </w:t>
      </w:r>
      <w:r>
        <w:rPr/>
        <w:t>may</w:t>
      </w:r>
      <w:r>
        <w:rPr>
          <w:spacing w:val="-4"/>
        </w:rPr>
        <w:t> </w:t>
      </w:r>
      <w:r>
        <w:rPr/>
        <w:t>say.</w:t>
      </w:r>
      <w:r>
        <w:rPr>
          <w:spacing w:val="-2"/>
        </w:rPr>
        <w:t> </w:t>
      </w:r>
      <w:r>
        <w:rPr>
          <w:i/>
        </w:rPr>
        <w:t>See</w:t>
      </w:r>
      <w:r>
        <w:rPr>
          <w:i/>
          <w:spacing w:val="-2"/>
        </w:rPr>
        <w:t> </w:t>
      </w:r>
      <w:r>
        <w:rPr/>
        <w:t>24</w:t>
      </w:r>
      <w:r>
        <w:rPr>
          <w:spacing w:val="-4"/>
        </w:rPr>
        <w:t> </w:t>
      </w:r>
      <w:r>
        <w:rPr/>
        <w:t>C.F.R.</w:t>
      </w:r>
      <w:r>
        <w:rPr>
          <w:spacing w:val="-2"/>
        </w:rPr>
        <w:t> </w:t>
      </w:r>
      <w:r>
        <w:rPr/>
        <w:t>100.500.</w:t>
      </w:r>
      <w:r>
        <w:rPr>
          <w:spacing w:val="-2"/>
        </w:rPr>
        <w:t> </w:t>
      </w:r>
      <w:r>
        <w:rPr/>
        <w:t>There</w:t>
      </w:r>
      <w:r>
        <w:rPr>
          <w:spacing w:val="-2"/>
        </w:rPr>
        <w:t> </w:t>
      </w:r>
      <w:r>
        <w:rPr/>
        <w:t>is</w:t>
      </w:r>
      <w:r>
        <w:rPr>
          <w:spacing w:val="-2"/>
        </w:rPr>
        <w:t> </w:t>
      </w:r>
      <w:r>
        <w:rPr/>
        <w:t>no</w:t>
      </w:r>
      <w:r>
        <w:rPr>
          <w:spacing w:val="-2"/>
        </w:rPr>
        <w:t> </w:t>
      </w:r>
      <w:r>
        <w:rPr/>
        <w:t>open</w:t>
      </w:r>
      <w:r>
        <w:rPr>
          <w:spacing w:val="-2"/>
        </w:rPr>
        <w:t> </w:t>
      </w:r>
      <w:r>
        <w:rPr/>
        <w:t>question on the matter.</w:t>
      </w:r>
    </w:p>
    <w:p>
      <w:pPr>
        <w:pStyle w:val="BodyText"/>
        <w:spacing w:before="4"/>
        <w:ind w:left="0"/>
      </w:pPr>
    </w:p>
    <w:p>
      <w:pPr>
        <w:pStyle w:val="BodyText"/>
        <w:ind w:left="119" w:right="152"/>
      </w:pPr>
      <w:r>
        <w:rPr/>
        <w:t>Moreover, disparate impact has been an essential tool for combating housing discrimination since the earliest days under the Fair Housing Act. Soon after the Act took effect, the Nixon Administration utilized disparate impact liability to challenge an ostensibly race-neutral zoning ordinance that had a discriminatory</w:t>
      </w:r>
      <w:r>
        <w:rPr>
          <w:spacing w:val="-3"/>
        </w:rPr>
        <w:t> </w:t>
      </w:r>
      <w:r>
        <w:rPr/>
        <w:t>effect</w:t>
      </w:r>
      <w:r>
        <w:rPr>
          <w:spacing w:val="-3"/>
        </w:rPr>
        <w:t> </w:t>
      </w:r>
      <w:r>
        <w:rPr/>
        <w:t>on</w:t>
      </w:r>
      <w:r>
        <w:rPr>
          <w:spacing w:val="-5"/>
        </w:rPr>
        <w:t> </w:t>
      </w:r>
      <w:r>
        <w:rPr/>
        <w:t>Black</w:t>
      </w:r>
      <w:r>
        <w:rPr>
          <w:spacing w:val="-3"/>
        </w:rPr>
        <w:t> </w:t>
      </w:r>
      <w:r>
        <w:rPr/>
        <w:t>people</w:t>
      </w:r>
      <w:r>
        <w:rPr>
          <w:spacing w:val="-3"/>
        </w:rPr>
        <w:t> </w:t>
      </w:r>
      <w:r>
        <w:rPr/>
        <w:t>and</w:t>
      </w:r>
      <w:r>
        <w:rPr>
          <w:spacing w:val="-3"/>
        </w:rPr>
        <w:t> </w:t>
      </w:r>
      <w:r>
        <w:rPr/>
        <w:t>that</w:t>
      </w:r>
      <w:r>
        <w:rPr>
          <w:spacing w:val="-3"/>
        </w:rPr>
        <w:t> </w:t>
      </w:r>
      <w:r>
        <w:rPr/>
        <w:t>would</w:t>
      </w:r>
      <w:r>
        <w:rPr>
          <w:spacing w:val="-3"/>
        </w:rPr>
        <w:t> </w:t>
      </w:r>
      <w:r>
        <w:rPr/>
        <w:t>perpetuate</w:t>
      </w:r>
      <w:r>
        <w:rPr>
          <w:spacing w:val="-3"/>
        </w:rPr>
        <w:t> </w:t>
      </w:r>
      <w:r>
        <w:rPr/>
        <w:t>segregation.</w:t>
      </w:r>
      <w:r>
        <w:rPr>
          <w:spacing w:val="-3"/>
        </w:rPr>
        <w:t> </w:t>
      </w:r>
      <w:r>
        <w:rPr/>
        <w:t>That</w:t>
      </w:r>
      <w:r>
        <w:rPr>
          <w:spacing w:val="-3"/>
        </w:rPr>
        <w:t> </w:t>
      </w:r>
      <w:r>
        <w:rPr/>
        <w:t>case</w:t>
      </w:r>
      <w:r>
        <w:rPr>
          <w:spacing w:val="-3"/>
        </w:rPr>
        <w:t> </w:t>
      </w:r>
      <w:r>
        <w:rPr/>
        <w:t>ultimately</w:t>
      </w:r>
      <w:r>
        <w:rPr>
          <w:spacing w:val="-5"/>
        </w:rPr>
        <w:t> </w:t>
      </w:r>
      <w:r>
        <w:rPr/>
        <w:t>led</w:t>
      </w:r>
      <w:r>
        <w:rPr>
          <w:spacing w:val="-3"/>
        </w:rPr>
        <w:t> </w:t>
      </w:r>
      <w:r>
        <w:rPr/>
        <w:t>to an</w:t>
      </w:r>
      <w:r>
        <w:rPr>
          <w:spacing w:val="-1"/>
        </w:rPr>
        <w:t> </w:t>
      </w:r>
      <w:r>
        <w:rPr/>
        <w:t>appellate</w:t>
      </w:r>
      <w:r>
        <w:rPr>
          <w:spacing w:val="-2"/>
        </w:rPr>
        <w:t> </w:t>
      </w:r>
      <w:r>
        <w:rPr/>
        <w:t>court</w:t>
      </w:r>
      <w:r>
        <w:rPr>
          <w:spacing w:val="-1"/>
        </w:rPr>
        <w:t> </w:t>
      </w:r>
      <w:r>
        <w:rPr/>
        <w:t>affirming</w:t>
      </w:r>
      <w:r>
        <w:rPr>
          <w:spacing w:val="-1"/>
        </w:rPr>
        <w:t> </w:t>
      </w:r>
      <w:r>
        <w:rPr/>
        <w:t>that</w:t>
      </w:r>
      <w:r>
        <w:rPr>
          <w:spacing w:val="-2"/>
        </w:rPr>
        <w:t> </w:t>
      </w:r>
      <w:r>
        <w:rPr/>
        <w:t>this</w:t>
      </w:r>
      <w:r>
        <w:rPr>
          <w:spacing w:val="-2"/>
        </w:rPr>
        <w:t> </w:t>
      </w:r>
      <w:r>
        <w:rPr/>
        <w:t>was</w:t>
      </w:r>
      <w:r>
        <w:rPr>
          <w:spacing w:val="-1"/>
        </w:rPr>
        <w:t> </w:t>
      </w:r>
      <w:r>
        <w:rPr/>
        <w:t>a</w:t>
      </w:r>
      <w:r>
        <w:rPr>
          <w:spacing w:val="-1"/>
        </w:rPr>
        <w:t> </w:t>
      </w:r>
      <w:r>
        <w:rPr/>
        <w:t>proper</w:t>
      </w:r>
      <w:r>
        <w:rPr>
          <w:spacing w:val="-2"/>
        </w:rPr>
        <w:t> </w:t>
      </w:r>
      <w:r>
        <w:rPr/>
        <w:t>use</w:t>
      </w:r>
      <w:r>
        <w:rPr>
          <w:spacing w:val="-1"/>
        </w:rPr>
        <w:t> </w:t>
      </w:r>
      <w:r>
        <w:rPr/>
        <w:t>of</w:t>
      </w:r>
      <w:r>
        <w:rPr>
          <w:spacing w:val="-1"/>
        </w:rPr>
        <w:t> </w:t>
      </w:r>
      <w:r>
        <w:rPr/>
        <w:t>the</w:t>
      </w:r>
      <w:r>
        <w:rPr>
          <w:spacing w:val="-1"/>
        </w:rPr>
        <w:t> </w:t>
      </w:r>
      <w:r>
        <w:rPr/>
        <w:t>Fair</w:t>
      </w:r>
      <w:r>
        <w:rPr>
          <w:spacing w:val="-1"/>
        </w:rPr>
        <w:t> </w:t>
      </w:r>
      <w:r>
        <w:rPr/>
        <w:t>Housing</w:t>
      </w:r>
      <w:r>
        <w:rPr>
          <w:spacing w:val="-3"/>
        </w:rPr>
        <w:t> </w:t>
      </w:r>
      <w:r>
        <w:rPr/>
        <w:t>Act.</w:t>
      </w:r>
      <w:r>
        <w:rPr>
          <w:spacing w:val="-1"/>
        </w:rPr>
        <w:t> </w:t>
      </w:r>
      <w:r>
        <w:rPr>
          <w:i/>
        </w:rPr>
        <w:t>See</w:t>
      </w:r>
      <w:r>
        <w:rPr>
          <w:i/>
          <w:spacing w:val="-1"/>
        </w:rPr>
        <w:t> </w:t>
      </w:r>
      <w:r>
        <w:rPr>
          <w:i/>
        </w:rPr>
        <w:t>United</w:t>
      </w:r>
      <w:r>
        <w:rPr>
          <w:i/>
          <w:spacing w:val="-1"/>
        </w:rPr>
        <w:t> </w:t>
      </w:r>
      <w:r>
        <w:rPr>
          <w:i/>
        </w:rPr>
        <w:t>States</w:t>
      </w:r>
      <w:r>
        <w:rPr>
          <w:i/>
          <w:spacing w:val="-1"/>
        </w:rPr>
        <w:t> </w:t>
      </w:r>
      <w:r>
        <w:rPr>
          <w:i/>
        </w:rPr>
        <w:t>v.</w:t>
      </w:r>
      <w:r>
        <w:rPr>
          <w:i/>
          <w:spacing w:val="-3"/>
        </w:rPr>
        <w:t> </w:t>
      </w:r>
      <w:r>
        <w:rPr>
          <w:i/>
        </w:rPr>
        <w:t>City</w:t>
      </w:r>
      <w:r>
        <w:rPr>
          <w:i/>
        </w:rPr>
        <w:t> of Black Jack</w:t>
      </w:r>
      <w:r>
        <w:rPr/>
        <w:t>, 508 F.2d 1179 (8</w:t>
      </w:r>
      <w:r>
        <w:rPr>
          <w:vertAlign w:val="superscript"/>
        </w:rPr>
        <w:t>th</w:t>
      </w:r>
      <w:r>
        <w:rPr>
          <w:vertAlign w:val="baseline"/>
        </w:rPr>
        <w:t> Cir. 1975).</w:t>
      </w:r>
    </w:p>
    <w:p>
      <w:pPr>
        <w:pStyle w:val="BodyText"/>
        <w:spacing w:before="3"/>
        <w:ind w:left="0"/>
      </w:pPr>
    </w:p>
    <w:p>
      <w:pPr>
        <w:pStyle w:val="BodyText"/>
        <w:ind w:right="134"/>
      </w:pPr>
      <w:r>
        <w:rPr/>
        <w:t>Since then, disparate impact has, for decades, served as a vital tool to root out and remedy policies and practices that unfairly harm protected</w:t>
      </w:r>
      <w:r>
        <w:rPr>
          <w:spacing w:val="-1"/>
        </w:rPr>
        <w:t> </w:t>
      </w:r>
      <w:r>
        <w:rPr/>
        <w:t>classes—even when race or other characteristics are not explicitly mentioned. It has been successfully deployed to stop unlawful policies that segregate people based on their</w:t>
      </w:r>
      <w:r>
        <w:rPr>
          <w:spacing w:val="-3"/>
        </w:rPr>
        <w:t> </w:t>
      </w:r>
      <w:r>
        <w:rPr/>
        <w:t>race</w:t>
      </w:r>
      <w:r>
        <w:rPr>
          <w:spacing w:val="-3"/>
        </w:rPr>
        <w:t> </w:t>
      </w:r>
      <w:r>
        <w:rPr/>
        <w:t>or</w:t>
      </w:r>
      <w:r>
        <w:rPr>
          <w:spacing w:val="-4"/>
        </w:rPr>
        <w:t> </w:t>
      </w:r>
      <w:r>
        <w:rPr/>
        <w:t>other</w:t>
      </w:r>
      <w:r>
        <w:rPr>
          <w:spacing w:val="-3"/>
        </w:rPr>
        <w:t> </w:t>
      </w:r>
      <w:r>
        <w:rPr/>
        <w:t>protected</w:t>
      </w:r>
      <w:r>
        <w:rPr>
          <w:spacing w:val="-3"/>
        </w:rPr>
        <w:t> </w:t>
      </w:r>
      <w:r>
        <w:rPr/>
        <w:t>class</w:t>
      </w:r>
      <w:r>
        <w:rPr>
          <w:spacing w:val="-4"/>
        </w:rPr>
        <w:t> </w:t>
      </w:r>
      <w:r>
        <w:rPr/>
        <w:t>characteristics;</w:t>
      </w:r>
      <w:r>
        <w:rPr>
          <w:spacing w:val="-3"/>
        </w:rPr>
        <w:t> </w:t>
      </w:r>
      <w:r>
        <w:rPr/>
        <w:t>dismantle</w:t>
      </w:r>
      <w:r>
        <w:rPr>
          <w:spacing w:val="-4"/>
        </w:rPr>
        <w:t> </w:t>
      </w:r>
      <w:r>
        <w:rPr/>
        <w:t>redlining</w:t>
      </w:r>
      <w:r>
        <w:rPr>
          <w:spacing w:val="-5"/>
        </w:rPr>
        <w:t> </w:t>
      </w:r>
      <w:r>
        <w:rPr/>
        <w:t>in</w:t>
      </w:r>
      <w:r>
        <w:rPr>
          <w:spacing w:val="-3"/>
        </w:rPr>
        <w:t> </w:t>
      </w:r>
      <w:r>
        <w:rPr/>
        <w:t>insurance</w:t>
      </w:r>
      <w:r>
        <w:rPr>
          <w:spacing w:val="-3"/>
        </w:rPr>
        <w:t> </w:t>
      </w:r>
      <w:r>
        <w:rPr/>
        <w:t>and</w:t>
      </w:r>
      <w:r>
        <w:rPr>
          <w:spacing w:val="-5"/>
        </w:rPr>
        <w:t> </w:t>
      </w:r>
      <w:r>
        <w:rPr/>
        <w:t>lending;</w:t>
      </w:r>
      <w:r>
        <w:rPr>
          <w:spacing w:val="-3"/>
        </w:rPr>
        <w:t> </w:t>
      </w:r>
      <w:r>
        <w:rPr/>
        <w:t>eliminate biased algorithms that harm people and communities; protect survivors of domestic violence; address appraisal bias that causes economic harm to affected homeowners; and halt discriminatory zoning and land-use policies. Beyond prohibiting harm, disparate-impact analysis under the Fair Housing Act has opened doors to greater housing security for individuals with disabilities, seniors on fixed incomes, families with children, and people of faith. It has spurred the development of affordable housing opportunities; safeguarded access to community resources such as transportation, health, and education services; and contributed to the creation of healthy communities that are free from toxins and pollution.</w:t>
      </w:r>
    </w:p>
    <w:p>
      <w:pPr>
        <w:pStyle w:val="BodyText"/>
        <w:spacing w:before="5"/>
        <w:ind w:left="0"/>
      </w:pPr>
    </w:p>
    <w:p>
      <w:pPr>
        <w:pStyle w:val="BodyText"/>
        <w:spacing w:before="1"/>
        <w:ind w:right="216"/>
        <w:rPr>
          <w:i/>
        </w:rPr>
      </w:pPr>
      <w:r>
        <w:rPr/>
        <w:t>Despite these clear legal precedents and disparate impact’s proven value in achieving the Fair Housing Act’s goal of eradicating discrimination in housing markets, according to news reports, an internal memo from HUD cites President Trump’s April 2025 Executive Order purporting to eliminate federal enforcement based on “disparate impact liability” as justification for abandoning several meritorious HUD fair housing actions (</w:t>
      </w:r>
      <w:hyperlink r:id="rId6">
        <w:r>
          <w:rPr>
            <w:color w:val="0000FF"/>
            <w:u w:val="single" w:color="0000FF"/>
          </w:rPr>
          <w:t>ProPublica</w:t>
        </w:r>
      </w:hyperlink>
      <w:r>
        <w:rPr>
          <w:u w:val="none"/>
        </w:rPr>
        <w:t>). However, HUD has no discretion to pick and choose among valid Fair Housing Act complaints. By statute, the Secretary “</w:t>
      </w:r>
      <w:r>
        <w:rPr>
          <w:i/>
          <w:u w:val="none"/>
        </w:rPr>
        <w:t>shall </w:t>
      </w:r>
      <w:r>
        <w:rPr>
          <w:u w:val="none"/>
        </w:rPr>
        <w:t>make an investigation” of all jurisdictional complaints, </w:t>
      </w:r>
      <w:r>
        <w:rPr>
          <w:i/>
          <w:u w:val="none"/>
        </w:rPr>
        <w:t>see </w:t>
      </w:r>
      <w:r>
        <w:rPr>
          <w:u w:val="none"/>
        </w:rPr>
        <w:t>42 U.S.C. 3610(a)(1)(B)(ii) (emphasis added), and “</w:t>
      </w:r>
      <w:r>
        <w:rPr>
          <w:i/>
          <w:u w:val="none"/>
        </w:rPr>
        <w:t>shall </w:t>
      </w:r>
      <w:r>
        <w:rPr>
          <w:u w:val="none"/>
        </w:rPr>
        <w:t>. . . determine based on the facts whether reasonable cause exists to believe that a discriminatory housing practice has occurred,” 42 U.S.C. 3610(g)(1) (emphasis added). The Fair Housing Act does not permit HUD to refuse to investigate or make a reasonable cause finding based on an Executive Order. To vacate findings</w:t>
      </w:r>
      <w:r>
        <w:rPr>
          <w:spacing w:val="-2"/>
          <w:u w:val="none"/>
        </w:rPr>
        <w:t> </w:t>
      </w:r>
      <w:r>
        <w:rPr>
          <w:u w:val="none"/>
        </w:rPr>
        <w:t>or</w:t>
      </w:r>
      <w:r>
        <w:rPr>
          <w:spacing w:val="-2"/>
          <w:u w:val="none"/>
        </w:rPr>
        <w:t> </w:t>
      </w:r>
      <w:r>
        <w:rPr>
          <w:u w:val="none"/>
        </w:rPr>
        <w:t>rescind</w:t>
      </w:r>
      <w:r>
        <w:rPr>
          <w:spacing w:val="-4"/>
          <w:u w:val="none"/>
        </w:rPr>
        <w:t> </w:t>
      </w:r>
      <w:r>
        <w:rPr>
          <w:u w:val="none"/>
        </w:rPr>
        <w:t>meritorious</w:t>
      </w:r>
      <w:r>
        <w:rPr>
          <w:spacing w:val="-2"/>
          <w:u w:val="none"/>
        </w:rPr>
        <w:t> </w:t>
      </w:r>
      <w:r>
        <w:rPr>
          <w:u w:val="none"/>
        </w:rPr>
        <w:t>charges</w:t>
      </w:r>
      <w:r>
        <w:rPr>
          <w:spacing w:val="-2"/>
          <w:u w:val="none"/>
        </w:rPr>
        <w:t> </w:t>
      </w:r>
      <w:r>
        <w:rPr>
          <w:u w:val="none"/>
        </w:rPr>
        <w:t>on</w:t>
      </w:r>
      <w:r>
        <w:rPr>
          <w:spacing w:val="-2"/>
          <w:u w:val="none"/>
        </w:rPr>
        <w:t> </w:t>
      </w:r>
      <w:r>
        <w:rPr>
          <w:u w:val="none"/>
        </w:rPr>
        <w:t>that</w:t>
      </w:r>
      <w:r>
        <w:rPr>
          <w:spacing w:val="-2"/>
          <w:u w:val="none"/>
        </w:rPr>
        <w:t> </w:t>
      </w:r>
      <w:r>
        <w:rPr>
          <w:u w:val="none"/>
        </w:rPr>
        <w:t>basis</w:t>
      </w:r>
      <w:r>
        <w:rPr>
          <w:spacing w:val="-2"/>
          <w:u w:val="none"/>
        </w:rPr>
        <w:t> </w:t>
      </w:r>
      <w:r>
        <w:rPr>
          <w:u w:val="none"/>
        </w:rPr>
        <w:t>additionally</w:t>
      </w:r>
      <w:r>
        <w:rPr>
          <w:spacing w:val="-2"/>
          <w:u w:val="none"/>
        </w:rPr>
        <w:t> </w:t>
      </w:r>
      <w:r>
        <w:rPr>
          <w:u w:val="none"/>
        </w:rPr>
        <w:t>undermines</w:t>
      </w:r>
      <w:r>
        <w:rPr>
          <w:spacing w:val="-2"/>
          <w:u w:val="none"/>
        </w:rPr>
        <w:t> </w:t>
      </w:r>
      <w:r>
        <w:rPr>
          <w:u w:val="none"/>
        </w:rPr>
        <w:t>HUD’s</w:t>
      </w:r>
      <w:r>
        <w:rPr>
          <w:spacing w:val="-2"/>
          <w:u w:val="none"/>
        </w:rPr>
        <w:t> </w:t>
      </w:r>
      <w:r>
        <w:rPr>
          <w:u w:val="none"/>
        </w:rPr>
        <w:t>statutory</w:t>
      </w:r>
      <w:r>
        <w:rPr>
          <w:spacing w:val="-2"/>
          <w:u w:val="none"/>
        </w:rPr>
        <w:t> </w:t>
      </w:r>
      <w:r>
        <w:rPr>
          <w:u w:val="none"/>
        </w:rPr>
        <w:t>mandate to “administer the programs and activities relating to housing and urban development in a manner affirmatively</w:t>
      </w:r>
      <w:r>
        <w:rPr>
          <w:spacing w:val="-3"/>
          <w:u w:val="none"/>
        </w:rPr>
        <w:t> </w:t>
      </w:r>
      <w:r>
        <w:rPr>
          <w:u w:val="none"/>
        </w:rPr>
        <w:t>to</w:t>
      </w:r>
      <w:r>
        <w:rPr>
          <w:spacing w:val="-3"/>
          <w:u w:val="none"/>
        </w:rPr>
        <w:t> </w:t>
      </w:r>
      <w:r>
        <w:rPr>
          <w:u w:val="none"/>
        </w:rPr>
        <w:t>further</w:t>
      </w:r>
      <w:r>
        <w:rPr>
          <w:spacing w:val="-4"/>
          <w:u w:val="none"/>
        </w:rPr>
        <w:t> </w:t>
      </w:r>
      <w:r>
        <w:rPr>
          <w:u w:val="none"/>
        </w:rPr>
        <w:t>the</w:t>
      </w:r>
      <w:r>
        <w:rPr>
          <w:spacing w:val="-3"/>
          <w:u w:val="none"/>
        </w:rPr>
        <w:t> </w:t>
      </w:r>
      <w:r>
        <w:rPr>
          <w:u w:val="none"/>
        </w:rPr>
        <w:t>policies”</w:t>
      </w:r>
      <w:r>
        <w:rPr>
          <w:spacing w:val="-4"/>
          <w:u w:val="none"/>
        </w:rPr>
        <w:t> </w:t>
      </w:r>
      <w:r>
        <w:rPr>
          <w:u w:val="none"/>
        </w:rPr>
        <w:t>of</w:t>
      </w:r>
      <w:r>
        <w:rPr>
          <w:spacing w:val="-3"/>
          <w:u w:val="none"/>
        </w:rPr>
        <w:t> </w:t>
      </w:r>
      <w:r>
        <w:rPr>
          <w:u w:val="none"/>
        </w:rPr>
        <w:t>the</w:t>
      </w:r>
      <w:r>
        <w:rPr>
          <w:spacing w:val="-3"/>
          <w:u w:val="none"/>
        </w:rPr>
        <w:t> </w:t>
      </w:r>
      <w:r>
        <w:rPr>
          <w:u w:val="none"/>
        </w:rPr>
        <w:t>FHA</w:t>
      </w:r>
      <w:r>
        <w:rPr>
          <w:spacing w:val="-4"/>
          <w:u w:val="none"/>
        </w:rPr>
        <w:t> </w:t>
      </w:r>
      <w:r>
        <w:rPr>
          <w:u w:val="none"/>
        </w:rPr>
        <w:t>(42</w:t>
      </w:r>
      <w:r>
        <w:rPr>
          <w:spacing w:val="-3"/>
          <w:u w:val="none"/>
        </w:rPr>
        <w:t> </w:t>
      </w:r>
      <w:r>
        <w:rPr>
          <w:u w:val="none"/>
        </w:rPr>
        <w:t>U.S.C.</w:t>
      </w:r>
      <w:r>
        <w:rPr>
          <w:spacing w:val="-4"/>
          <w:u w:val="none"/>
        </w:rPr>
        <w:t> </w:t>
      </w:r>
      <w:r>
        <w:rPr>
          <w:u w:val="none"/>
        </w:rPr>
        <w:t>§</w:t>
      </w:r>
      <w:r>
        <w:rPr>
          <w:spacing w:val="-2"/>
          <w:u w:val="none"/>
        </w:rPr>
        <w:t> </w:t>
      </w:r>
      <w:r>
        <w:rPr>
          <w:u w:val="none"/>
        </w:rPr>
        <w:t>3608(e)(5));</w:t>
      </w:r>
      <w:r>
        <w:rPr>
          <w:spacing w:val="-3"/>
          <w:u w:val="none"/>
        </w:rPr>
        <w:t> </w:t>
      </w:r>
      <w:r>
        <w:rPr>
          <w:i/>
          <w:u w:val="none"/>
        </w:rPr>
        <w:t>see</w:t>
      </w:r>
      <w:r>
        <w:rPr>
          <w:i/>
          <w:spacing w:val="-3"/>
          <w:u w:val="none"/>
        </w:rPr>
        <w:t> </w:t>
      </w:r>
      <w:r>
        <w:rPr>
          <w:i/>
          <w:u w:val="none"/>
        </w:rPr>
        <w:t>NAACP,</w:t>
      </w:r>
      <w:r>
        <w:rPr>
          <w:i/>
          <w:spacing w:val="-3"/>
          <w:u w:val="none"/>
        </w:rPr>
        <w:t> </w:t>
      </w:r>
      <w:r>
        <w:rPr>
          <w:i/>
          <w:u w:val="none"/>
        </w:rPr>
        <w:t>Boston</w:t>
      </w:r>
      <w:r>
        <w:rPr>
          <w:i/>
          <w:spacing w:val="-3"/>
          <w:u w:val="none"/>
        </w:rPr>
        <w:t> </w:t>
      </w:r>
      <w:r>
        <w:rPr>
          <w:i/>
          <w:u w:val="none"/>
        </w:rPr>
        <w:t>Chapter</w:t>
      </w:r>
    </w:p>
    <w:p>
      <w:pPr>
        <w:pStyle w:val="BodyText"/>
        <w:ind w:right="216"/>
      </w:pPr>
      <w:r>
        <w:rPr>
          <w:i/>
        </w:rPr>
        <w:t>v. HUD</w:t>
      </w:r>
      <w:r>
        <w:rPr/>
        <w:t>, 817 F.2d 149 (1</w:t>
      </w:r>
      <w:r>
        <w:rPr>
          <w:vertAlign w:val="superscript"/>
        </w:rPr>
        <w:t>st</w:t>
      </w:r>
      <w:r>
        <w:rPr>
          <w:vertAlign w:val="baseline"/>
        </w:rPr>
        <w:t> Cir. 1987) (finding HUD in violation of obligation to affirmatively further fair housing). It also flies in the face of HUD’s longstanding</w:t>
      </w:r>
      <w:r>
        <w:rPr>
          <w:spacing w:val="-1"/>
          <w:vertAlign w:val="baseline"/>
        </w:rPr>
        <w:t> </w:t>
      </w:r>
      <w:r>
        <w:rPr>
          <w:vertAlign w:val="baseline"/>
        </w:rPr>
        <w:t>practice to investigate all complaints and the Fair Housing Act’s command that “[i]t is the policy of the United States to provide, within constitutional limitations, for fair housing throughout the United States.” 42 U.S.C. § 3601. The Executive Order cannot and does not override the statute enacted by Congress and interpreted by the Supreme Court and HUD’s own regulations. It is not only misguided but unlawful to abandon investigations</w:t>
      </w:r>
      <w:r>
        <w:rPr>
          <w:spacing w:val="-3"/>
          <w:vertAlign w:val="baseline"/>
        </w:rPr>
        <w:t> </w:t>
      </w:r>
      <w:r>
        <w:rPr>
          <w:vertAlign w:val="baseline"/>
        </w:rPr>
        <w:t>and</w:t>
      </w:r>
      <w:r>
        <w:rPr>
          <w:spacing w:val="-3"/>
          <w:vertAlign w:val="baseline"/>
        </w:rPr>
        <w:t> </w:t>
      </w:r>
      <w:r>
        <w:rPr>
          <w:vertAlign w:val="baseline"/>
        </w:rPr>
        <w:t>compliance</w:t>
      </w:r>
      <w:r>
        <w:rPr>
          <w:spacing w:val="-3"/>
          <w:vertAlign w:val="baseline"/>
        </w:rPr>
        <w:t> </w:t>
      </w:r>
      <w:r>
        <w:rPr>
          <w:vertAlign w:val="baseline"/>
        </w:rPr>
        <w:t>agreements</w:t>
      </w:r>
      <w:r>
        <w:rPr>
          <w:spacing w:val="-3"/>
          <w:vertAlign w:val="baseline"/>
        </w:rPr>
        <w:t> </w:t>
      </w:r>
      <w:r>
        <w:rPr>
          <w:vertAlign w:val="baseline"/>
        </w:rPr>
        <w:t>solely</w:t>
      </w:r>
      <w:r>
        <w:rPr>
          <w:spacing w:val="-4"/>
          <w:vertAlign w:val="baseline"/>
        </w:rPr>
        <w:t> </w:t>
      </w:r>
      <w:r>
        <w:rPr>
          <w:vertAlign w:val="baseline"/>
        </w:rPr>
        <w:t>because</w:t>
      </w:r>
      <w:r>
        <w:rPr>
          <w:spacing w:val="-3"/>
          <w:vertAlign w:val="baseline"/>
        </w:rPr>
        <w:t> </w:t>
      </w:r>
      <w:r>
        <w:rPr>
          <w:vertAlign w:val="baseline"/>
        </w:rPr>
        <w:t>they</w:t>
      </w:r>
      <w:r>
        <w:rPr>
          <w:spacing w:val="-3"/>
          <w:vertAlign w:val="baseline"/>
        </w:rPr>
        <w:t> </w:t>
      </w:r>
      <w:r>
        <w:rPr>
          <w:vertAlign w:val="baseline"/>
        </w:rPr>
        <w:t>rely</w:t>
      </w:r>
      <w:r>
        <w:rPr>
          <w:spacing w:val="-3"/>
          <w:vertAlign w:val="baseline"/>
        </w:rPr>
        <w:t> </w:t>
      </w:r>
      <w:r>
        <w:rPr>
          <w:vertAlign w:val="baseline"/>
        </w:rPr>
        <w:t>–</w:t>
      </w:r>
      <w:r>
        <w:rPr>
          <w:spacing w:val="-4"/>
          <w:vertAlign w:val="baseline"/>
        </w:rPr>
        <w:t> </w:t>
      </w:r>
      <w:r>
        <w:rPr>
          <w:vertAlign w:val="baseline"/>
        </w:rPr>
        <w:t>in</w:t>
      </w:r>
      <w:r>
        <w:rPr>
          <w:spacing w:val="-3"/>
          <w:vertAlign w:val="baseline"/>
        </w:rPr>
        <w:t> </w:t>
      </w:r>
      <w:r>
        <w:rPr>
          <w:vertAlign w:val="baseline"/>
        </w:rPr>
        <w:t>whole</w:t>
      </w:r>
      <w:r>
        <w:rPr>
          <w:spacing w:val="-3"/>
          <w:vertAlign w:val="baseline"/>
        </w:rPr>
        <w:t> </w:t>
      </w:r>
      <w:r>
        <w:rPr>
          <w:vertAlign w:val="baseline"/>
        </w:rPr>
        <w:t>or</w:t>
      </w:r>
      <w:r>
        <w:rPr>
          <w:spacing w:val="-3"/>
          <w:vertAlign w:val="baseline"/>
        </w:rPr>
        <w:t> </w:t>
      </w:r>
      <w:r>
        <w:rPr>
          <w:vertAlign w:val="baseline"/>
        </w:rPr>
        <w:t>in</w:t>
      </w:r>
      <w:r>
        <w:rPr>
          <w:spacing w:val="-3"/>
          <w:vertAlign w:val="baseline"/>
        </w:rPr>
        <w:t> </w:t>
      </w:r>
      <w:r>
        <w:rPr>
          <w:vertAlign w:val="baseline"/>
        </w:rPr>
        <w:t>part</w:t>
      </w:r>
      <w:r>
        <w:rPr>
          <w:spacing w:val="-3"/>
          <w:vertAlign w:val="baseline"/>
        </w:rPr>
        <w:t> </w:t>
      </w:r>
      <w:r>
        <w:rPr>
          <w:vertAlign w:val="baseline"/>
        </w:rPr>
        <w:t>–</w:t>
      </w:r>
      <w:r>
        <w:rPr>
          <w:spacing w:val="-3"/>
          <w:vertAlign w:val="baseline"/>
        </w:rPr>
        <w:t> </w:t>
      </w:r>
      <w:r>
        <w:rPr>
          <w:vertAlign w:val="baseline"/>
        </w:rPr>
        <w:t>on</w:t>
      </w:r>
      <w:r>
        <w:rPr>
          <w:spacing w:val="-3"/>
          <w:vertAlign w:val="baseline"/>
        </w:rPr>
        <w:t> </w:t>
      </w:r>
      <w:r>
        <w:rPr>
          <w:vertAlign w:val="baseline"/>
        </w:rPr>
        <w:t>disparate impact analysis (particularly where the underlying complaints in these matters allege discriminatory intent as well as disparate impact).</w:t>
      </w:r>
    </w:p>
    <w:p>
      <w:pPr>
        <w:spacing w:after="0"/>
        <w:sectPr>
          <w:pgSz w:w="12240" w:h="15840"/>
          <w:pgMar w:header="0" w:footer="1078" w:top="1380" w:bottom="1260" w:left="960" w:right="980"/>
        </w:sectPr>
      </w:pPr>
    </w:p>
    <w:p>
      <w:pPr>
        <w:pStyle w:val="BodyText"/>
        <w:spacing w:before="60"/>
        <w:ind w:left="119" w:right="152"/>
      </w:pPr>
      <w:r>
        <w:rPr/>
        <w:t>Abandoning HUD’s duty to protect people in America from disparate impact discrimination in housing makes no sense as it will ultimately harm the nation as a whole. Studies have shown that discrimination restricts markets and causes economic inefficiencies, while fair practices for all benefits businesses and municipalities. </w:t>
      </w:r>
      <w:r>
        <w:rPr>
          <w:i/>
        </w:rPr>
        <w:t>See, e.g.</w:t>
      </w:r>
      <w:r>
        <w:rPr/>
        <w:t>, Arrow, K. J. (1998). "What Has Economics to Say About Racial Discrimination?" Journal of Economic Perspectives, 12(2), 91–100 (demonstrating that discrimination leads</w:t>
      </w:r>
      <w:r>
        <w:rPr>
          <w:spacing w:val="-2"/>
        </w:rPr>
        <w:t> </w:t>
      </w:r>
      <w:r>
        <w:rPr/>
        <w:t>to</w:t>
      </w:r>
      <w:r>
        <w:rPr>
          <w:spacing w:val="-1"/>
        </w:rPr>
        <w:t> </w:t>
      </w:r>
      <w:r>
        <w:rPr/>
        <w:t>inefficiencies</w:t>
      </w:r>
      <w:r>
        <w:rPr>
          <w:spacing w:val="-1"/>
        </w:rPr>
        <w:t> </w:t>
      </w:r>
      <w:r>
        <w:rPr/>
        <w:t>in</w:t>
      </w:r>
      <w:r>
        <w:rPr>
          <w:spacing w:val="-3"/>
        </w:rPr>
        <w:t> </w:t>
      </w:r>
      <w:r>
        <w:rPr/>
        <w:t>resource</w:t>
      </w:r>
      <w:r>
        <w:rPr>
          <w:spacing w:val="-1"/>
        </w:rPr>
        <w:t> </w:t>
      </w:r>
      <w:r>
        <w:rPr/>
        <w:t>allocation</w:t>
      </w:r>
      <w:r>
        <w:rPr>
          <w:spacing w:val="-3"/>
        </w:rPr>
        <w:t> </w:t>
      </w:r>
      <w:r>
        <w:rPr/>
        <w:t>and</w:t>
      </w:r>
      <w:r>
        <w:rPr>
          <w:spacing w:val="-3"/>
        </w:rPr>
        <w:t> </w:t>
      </w:r>
      <w:r>
        <w:rPr/>
        <w:t>market</w:t>
      </w:r>
      <w:r>
        <w:rPr>
          <w:spacing w:val="-1"/>
        </w:rPr>
        <w:t> </w:t>
      </w:r>
      <w:r>
        <w:rPr/>
        <w:t>performance).</w:t>
      </w:r>
      <w:r>
        <w:rPr>
          <w:spacing w:val="40"/>
        </w:rPr>
        <w:t> </w:t>
      </w:r>
      <w:r>
        <w:rPr/>
        <w:t>If</w:t>
      </w:r>
      <w:r>
        <w:rPr>
          <w:spacing w:val="-1"/>
        </w:rPr>
        <w:t> </w:t>
      </w:r>
      <w:r>
        <w:rPr/>
        <w:t>one</w:t>
      </w:r>
      <w:r>
        <w:rPr>
          <w:spacing w:val="-1"/>
        </w:rPr>
        <w:t> </w:t>
      </w:r>
      <w:r>
        <w:rPr/>
        <w:t>component</w:t>
      </w:r>
      <w:r>
        <w:rPr>
          <w:spacing w:val="-1"/>
        </w:rPr>
        <w:t> </w:t>
      </w:r>
      <w:r>
        <w:rPr/>
        <w:t>of</w:t>
      </w:r>
      <w:r>
        <w:rPr>
          <w:spacing w:val="-2"/>
        </w:rPr>
        <w:t> </w:t>
      </w:r>
      <w:r>
        <w:rPr/>
        <w:t>the</w:t>
      </w:r>
      <w:r>
        <w:rPr>
          <w:spacing w:val="-1"/>
        </w:rPr>
        <w:t> </w:t>
      </w:r>
      <w:r>
        <w:rPr/>
        <w:t>housing and lending ecosystem is not fulfilling its fair housing obligations, the resulting inequality cascades through all housing and lending markets. Families and people will be deprived of participating in the American dream of safe, stable housing; businesses will lose profits; and jurisdictions will operate ineffectively and to the detriment of their residents. </w:t>
      </w:r>
      <w:r>
        <w:rPr>
          <w:i/>
        </w:rPr>
        <w:t>See, e.g.</w:t>
      </w:r>
      <w:r>
        <w:rPr/>
        <w:t>, Dana M. Peterson &amp; Catherine L. Mann, </w:t>
      </w:r>
      <w:r>
        <w:rPr>
          <w:i/>
        </w:rPr>
        <w:t>Closing the Racial Inequality Gaps: The Economic Cost of Black Inequality in the U.S.</w:t>
      </w:r>
      <w:r>
        <w:rPr/>
        <w:t>, available at https:</w:t>
      </w:r>
      <w:hyperlink r:id="rId8">
        <w:r>
          <w:rPr/>
          <w:t>//www.citigroup.com/global/insights/closing-the-racial-inequality-gaps-20200922.</w:t>
        </w:r>
      </w:hyperlink>
      <w:r>
        <w:rPr>
          <w:spacing w:val="37"/>
        </w:rPr>
        <w:t> </w:t>
      </w:r>
      <w:r>
        <w:rPr/>
        <w:t>Society</w:t>
      </w:r>
      <w:r>
        <w:rPr>
          <w:spacing w:val="-14"/>
        </w:rPr>
        <w:t> </w:t>
      </w:r>
      <w:r>
        <w:rPr/>
        <w:t>thrives when our laws are followed and there are sound and consistent regulations that comply with the law.</w:t>
      </w:r>
    </w:p>
    <w:p>
      <w:pPr>
        <w:pStyle w:val="BodyText"/>
        <w:spacing w:before="4"/>
        <w:ind w:left="0"/>
      </w:pPr>
    </w:p>
    <w:p>
      <w:pPr>
        <w:pStyle w:val="BodyText"/>
        <w:ind w:left="119"/>
      </w:pPr>
      <w:r>
        <w:rPr/>
        <w:t>Accordingly,</w:t>
      </w:r>
      <w:r>
        <w:rPr>
          <w:spacing w:val="-1"/>
        </w:rPr>
        <w:t> </w:t>
      </w:r>
      <w:r>
        <w:rPr/>
        <w:t>we</w:t>
      </w:r>
      <w:r>
        <w:rPr>
          <w:spacing w:val="-1"/>
        </w:rPr>
        <w:t> </w:t>
      </w:r>
      <w:r>
        <w:rPr/>
        <w:t>urge</w:t>
      </w:r>
      <w:r>
        <w:rPr>
          <w:spacing w:val="-1"/>
        </w:rPr>
        <w:t> </w:t>
      </w:r>
      <w:r>
        <w:rPr/>
        <w:t>you</w:t>
      </w:r>
      <w:r>
        <w:rPr>
          <w:spacing w:val="-1"/>
        </w:rPr>
        <w:t> </w:t>
      </w:r>
      <w:r>
        <w:rPr>
          <w:spacing w:val="-5"/>
        </w:rPr>
        <w:t>to:</w:t>
      </w:r>
    </w:p>
    <w:p>
      <w:pPr>
        <w:pStyle w:val="BodyText"/>
        <w:spacing w:before="3"/>
        <w:ind w:left="0"/>
      </w:pPr>
    </w:p>
    <w:p>
      <w:pPr>
        <w:pStyle w:val="ListParagraph"/>
        <w:numPr>
          <w:ilvl w:val="0"/>
          <w:numId w:val="1"/>
        </w:numPr>
        <w:tabs>
          <w:tab w:pos="839" w:val="left" w:leader="none"/>
        </w:tabs>
        <w:spacing w:line="240" w:lineRule="auto" w:before="1" w:after="0"/>
        <w:ind w:left="839" w:right="179" w:hanging="360"/>
        <w:jc w:val="left"/>
        <w:rPr>
          <w:sz w:val="24"/>
        </w:rPr>
      </w:pPr>
      <w:r>
        <w:rPr>
          <w:b/>
          <w:sz w:val="24"/>
        </w:rPr>
        <w:t>Reaffirm</w:t>
      </w:r>
      <w:r>
        <w:rPr>
          <w:b/>
          <w:spacing w:val="-3"/>
          <w:sz w:val="24"/>
        </w:rPr>
        <w:t> </w:t>
      </w:r>
      <w:r>
        <w:rPr>
          <w:b/>
          <w:sz w:val="24"/>
        </w:rPr>
        <w:t>HUD’s</w:t>
      </w:r>
      <w:r>
        <w:rPr>
          <w:b/>
          <w:spacing w:val="-3"/>
          <w:sz w:val="24"/>
        </w:rPr>
        <w:t> </w:t>
      </w:r>
      <w:r>
        <w:rPr>
          <w:b/>
          <w:sz w:val="24"/>
        </w:rPr>
        <w:t>commitment</w:t>
      </w:r>
      <w:r>
        <w:rPr>
          <w:b/>
          <w:spacing w:val="-3"/>
          <w:sz w:val="24"/>
        </w:rPr>
        <w:t> </w:t>
      </w:r>
      <w:r>
        <w:rPr>
          <w:sz w:val="24"/>
        </w:rPr>
        <w:t>to</w:t>
      </w:r>
      <w:r>
        <w:rPr>
          <w:spacing w:val="-3"/>
          <w:sz w:val="24"/>
        </w:rPr>
        <w:t> </w:t>
      </w:r>
      <w:r>
        <w:rPr>
          <w:sz w:val="24"/>
        </w:rPr>
        <w:t>enforcing</w:t>
      </w:r>
      <w:r>
        <w:rPr>
          <w:spacing w:val="-5"/>
          <w:sz w:val="24"/>
        </w:rPr>
        <w:t> </w:t>
      </w:r>
      <w:r>
        <w:rPr>
          <w:sz w:val="24"/>
        </w:rPr>
        <w:t>the</w:t>
      </w:r>
      <w:r>
        <w:rPr>
          <w:spacing w:val="-3"/>
          <w:sz w:val="24"/>
        </w:rPr>
        <w:t> </w:t>
      </w:r>
      <w:r>
        <w:rPr>
          <w:sz w:val="24"/>
        </w:rPr>
        <w:t>disparate</w:t>
      </w:r>
      <w:r>
        <w:rPr>
          <w:spacing w:val="-4"/>
          <w:sz w:val="24"/>
        </w:rPr>
        <w:t> </w:t>
      </w:r>
      <w:r>
        <w:rPr>
          <w:sz w:val="24"/>
        </w:rPr>
        <w:t>impact</w:t>
      </w:r>
      <w:r>
        <w:rPr>
          <w:spacing w:val="-3"/>
          <w:sz w:val="24"/>
        </w:rPr>
        <w:t> </w:t>
      </w:r>
      <w:r>
        <w:rPr>
          <w:sz w:val="24"/>
        </w:rPr>
        <w:t>standard,</w:t>
      </w:r>
      <w:r>
        <w:rPr>
          <w:spacing w:val="-5"/>
          <w:sz w:val="24"/>
        </w:rPr>
        <w:t> </w:t>
      </w:r>
      <w:r>
        <w:rPr>
          <w:sz w:val="24"/>
        </w:rPr>
        <w:t>including</w:t>
      </w:r>
      <w:r>
        <w:rPr>
          <w:spacing w:val="-3"/>
          <w:sz w:val="24"/>
        </w:rPr>
        <w:t> </w:t>
      </w:r>
      <w:r>
        <w:rPr>
          <w:sz w:val="24"/>
        </w:rPr>
        <w:t>as</w:t>
      </w:r>
      <w:r>
        <w:rPr>
          <w:spacing w:val="-4"/>
          <w:sz w:val="24"/>
        </w:rPr>
        <w:t> </w:t>
      </w:r>
      <w:r>
        <w:rPr>
          <w:sz w:val="24"/>
        </w:rPr>
        <w:t>codified in the Fair Housing Act and HUD’s own regulations implementing it, and as upheld by every federal appellate court that considered the issue and the Supreme Court.</w:t>
      </w:r>
    </w:p>
    <w:p>
      <w:pPr>
        <w:pStyle w:val="ListParagraph"/>
        <w:numPr>
          <w:ilvl w:val="0"/>
          <w:numId w:val="1"/>
        </w:numPr>
        <w:tabs>
          <w:tab w:pos="839" w:val="left" w:leader="none"/>
        </w:tabs>
        <w:spacing w:line="240" w:lineRule="auto" w:before="0" w:after="0"/>
        <w:ind w:left="839" w:right="739" w:hanging="360"/>
        <w:jc w:val="left"/>
        <w:rPr>
          <w:sz w:val="24"/>
        </w:rPr>
      </w:pPr>
      <w:r>
        <w:rPr>
          <w:b/>
          <w:sz w:val="24"/>
        </w:rPr>
        <w:t>Continue</w:t>
      </w:r>
      <w:r>
        <w:rPr>
          <w:b/>
          <w:spacing w:val="-3"/>
          <w:sz w:val="24"/>
        </w:rPr>
        <w:t> </w:t>
      </w:r>
      <w:r>
        <w:rPr>
          <w:b/>
          <w:sz w:val="24"/>
        </w:rPr>
        <w:t>pursuing</w:t>
      </w:r>
      <w:r>
        <w:rPr>
          <w:b/>
          <w:spacing w:val="-4"/>
          <w:sz w:val="24"/>
        </w:rPr>
        <w:t> </w:t>
      </w:r>
      <w:r>
        <w:rPr>
          <w:sz w:val="24"/>
        </w:rPr>
        <w:t>all</w:t>
      </w:r>
      <w:r>
        <w:rPr>
          <w:spacing w:val="-4"/>
          <w:sz w:val="24"/>
        </w:rPr>
        <w:t> </w:t>
      </w:r>
      <w:r>
        <w:rPr>
          <w:sz w:val="24"/>
        </w:rPr>
        <w:t>pending</w:t>
      </w:r>
      <w:r>
        <w:rPr>
          <w:spacing w:val="-4"/>
          <w:sz w:val="24"/>
        </w:rPr>
        <w:t> </w:t>
      </w:r>
      <w:r>
        <w:rPr>
          <w:sz w:val="24"/>
        </w:rPr>
        <w:t>fair</w:t>
      </w:r>
      <w:r>
        <w:rPr>
          <w:spacing w:val="-4"/>
          <w:sz w:val="24"/>
        </w:rPr>
        <w:t> </w:t>
      </w:r>
      <w:r>
        <w:rPr>
          <w:sz w:val="24"/>
        </w:rPr>
        <w:t>housing</w:t>
      </w:r>
      <w:r>
        <w:rPr>
          <w:spacing w:val="-3"/>
          <w:sz w:val="24"/>
        </w:rPr>
        <w:t> </w:t>
      </w:r>
      <w:r>
        <w:rPr>
          <w:sz w:val="24"/>
        </w:rPr>
        <w:t>investigations</w:t>
      </w:r>
      <w:r>
        <w:rPr>
          <w:spacing w:val="-3"/>
          <w:sz w:val="24"/>
        </w:rPr>
        <w:t> </w:t>
      </w:r>
      <w:r>
        <w:rPr>
          <w:sz w:val="24"/>
        </w:rPr>
        <w:t>and</w:t>
      </w:r>
      <w:r>
        <w:rPr>
          <w:spacing w:val="-3"/>
          <w:sz w:val="24"/>
        </w:rPr>
        <w:t> </w:t>
      </w:r>
      <w:r>
        <w:rPr>
          <w:sz w:val="24"/>
        </w:rPr>
        <w:t>charges</w:t>
      </w:r>
      <w:r>
        <w:rPr>
          <w:spacing w:val="-4"/>
          <w:sz w:val="24"/>
        </w:rPr>
        <w:t> </w:t>
      </w:r>
      <w:r>
        <w:rPr>
          <w:sz w:val="24"/>
        </w:rPr>
        <w:t>in</w:t>
      </w:r>
      <w:r>
        <w:rPr>
          <w:spacing w:val="-3"/>
          <w:sz w:val="24"/>
        </w:rPr>
        <w:t> </w:t>
      </w:r>
      <w:r>
        <w:rPr>
          <w:sz w:val="24"/>
        </w:rPr>
        <w:t>which</w:t>
      </w:r>
      <w:r>
        <w:rPr>
          <w:spacing w:val="-3"/>
          <w:sz w:val="24"/>
        </w:rPr>
        <w:t> </w:t>
      </w:r>
      <w:r>
        <w:rPr>
          <w:sz w:val="24"/>
        </w:rPr>
        <w:t>HUD</w:t>
      </w:r>
      <w:r>
        <w:rPr>
          <w:spacing w:val="-4"/>
          <w:sz w:val="24"/>
        </w:rPr>
        <w:t> </w:t>
      </w:r>
      <w:r>
        <w:rPr>
          <w:sz w:val="24"/>
        </w:rPr>
        <w:t>has already determined violations occurred.</w:t>
      </w:r>
    </w:p>
    <w:p>
      <w:pPr>
        <w:pStyle w:val="ListParagraph"/>
        <w:numPr>
          <w:ilvl w:val="0"/>
          <w:numId w:val="1"/>
        </w:numPr>
        <w:tabs>
          <w:tab w:pos="839" w:val="left" w:leader="none"/>
        </w:tabs>
        <w:spacing w:line="240" w:lineRule="auto" w:before="0" w:after="0"/>
        <w:ind w:left="839" w:right="306" w:hanging="360"/>
        <w:jc w:val="left"/>
        <w:rPr>
          <w:sz w:val="24"/>
        </w:rPr>
      </w:pPr>
      <w:r>
        <w:rPr>
          <w:b/>
          <w:sz w:val="24"/>
        </w:rPr>
        <w:t>Reject</w:t>
      </w:r>
      <w:r>
        <w:rPr>
          <w:b/>
          <w:spacing w:val="-3"/>
          <w:sz w:val="24"/>
        </w:rPr>
        <w:t> </w:t>
      </w:r>
      <w:r>
        <w:rPr>
          <w:b/>
          <w:sz w:val="24"/>
        </w:rPr>
        <w:t>any</w:t>
      </w:r>
      <w:r>
        <w:rPr>
          <w:b/>
          <w:spacing w:val="-3"/>
          <w:sz w:val="24"/>
        </w:rPr>
        <w:t> </w:t>
      </w:r>
      <w:r>
        <w:rPr>
          <w:b/>
          <w:sz w:val="24"/>
        </w:rPr>
        <w:t>interpretation</w:t>
      </w:r>
      <w:r>
        <w:rPr>
          <w:b/>
          <w:spacing w:val="-3"/>
          <w:sz w:val="24"/>
        </w:rPr>
        <w:t> </w:t>
      </w:r>
      <w:r>
        <w:rPr>
          <w:sz w:val="24"/>
        </w:rPr>
        <w:t>of</w:t>
      </w:r>
      <w:r>
        <w:rPr>
          <w:spacing w:val="-3"/>
          <w:sz w:val="24"/>
        </w:rPr>
        <w:t> </w:t>
      </w:r>
      <w:r>
        <w:rPr>
          <w:sz w:val="24"/>
        </w:rPr>
        <w:t>the</w:t>
      </w:r>
      <w:r>
        <w:rPr>
          <w:spacing w:val="-3"/>
          <w:sz w:val="24"/>
        </w:rPr>
        <w:t> </w:t>
      </w:r>
      <w:r>
        <w:rPr>
          <w:sz w:val="24"/>
        </w:rPr>
        <w:t>Executive</w:t>
      </w:r>
      <w:r>
        <w:rPr>
          <w:spacing w:val="-3"/>
          <w:sz w:val="24"/>
        </w:rPr>
        <w:t> </w:t>
      </w:r>
      <w:r>
        <w:rPr>
          <w:sz w:val="24"/>
        </w:rPr>
        <w:t>Order</w:t>
      </w:r>
      <w:r>
        <w:rPr>
          <w:spacing w:val="-3"/>
          <w:sz w:val="24"/>
        </w:rPr>
        <w:t> </w:t>
      </w:r>
      <w:r>
        <w:rPr>
          <w:sz w:val="24"/>
        </w:rPr>
        <w:t>that</w:t>
      </w:r>
      <w:r>
        <w:rPr>
          <w:spacing w:val="-3"/>
          <w:sz w:val="24"/>
        </w:rPr>
        <w:t> </w:t>
      </w:r>
      <w:r>
        <w:rPr>
          <w:sz w:val="24"/>
        </w:rPr>
        <w:t>purports</w:t>
      </w:r>
      <w:r>
        <w:rPr>
          <w:spacing w:val="-3"/>
          <w:sz w:val="24"/>
        </w:rPr>
        <w:t> </w:t>
      </w:r>
      <w:r>
        <w:rPr>
          <w:sz w:val="24"/>
        </w:rPr>
        <w:t>to</w:t>
      </w:r>
      <w:r>
        <w:rPr>
          <w:spacing w:val="-3"/>
          <w:sz w:val="24"/>
        </w:rPr>
        <w:t> </w:t>
      </w:r>
      <w:r>
        <w:rPr>
          <w:sz w:val="24"/>
        </w:rPr>
        <w:t>nullify</w:t>
      </w:r>
      <w:r>
        <w:rPr>
          <w:spacing w:val="-5"/>
          <w:sz w:val="24"/>
        </w:rPr>
        <w:t> </w:t>
      </w:r>
      <w:r>
        <w:rPr>
          <w:sz w:val="24"/>
        </w:rPr>
        <w:t>HUD’s</w:t>
      </w:r>
      <w:r>
        <w:rPr>
          <w:spacing w:val="-3"/>
          <w:sz w:val="24"/>
        </w:rPr>
        <w:t> </w:t>
      </w:r>
      <w:r>
        <w:rPr>
          <w:sz w:val="24"/>
        </w:rPr>
        <w:t>authority</w:t>
      </w:r>
      <w:r>
        <w:rPr>
          <w:spacing w:val="-4"/>
          <w:sz w:val="24"/>
        </w:rPr>
        <w:t> </w:t>
      </w:r>
      <w:r>
        <w:rPr>
          <w:sz w:val="24"/>
        </w:rPr>
        <w:t>and mandate to apply the disparate impact standard in fair housing cases.</w:t>
      </w:r>
    </w:p>
    <w:p>
      <w:pPr>
        <w:pStyle w:val="ListParagraph"/>
        <w:numPr>
          <w:ilvl w:val="0"/>
          <w:numId w:val="1"/>
        </w:numPr>
        <w:tabs>
          <w:tab w:pos="839" w:val="left" w:leader="none"/>
        </w:tabs>
        <w:spacing w:line="240" w:lineRule="auto" w:before="0" w:after="0"/>
        <w:ind w:left="839" w:right="169" w:hanging="360"/>
        <w:jc w:val="left"/>
        <w:rPr>
          <w:sz w:val="24"/>
        </w:rPr>
      </w:pPr>
      <w:r>
        <w:rPr>
          <w:b/>
          <w:sz w:val="24"/>
        </w:rPr>
        <w:t>Retain</w:t>
      </w:r>
      <w:r>
        <w:rPr>
          <w:b/>
          <w:spacing w:val="-4"/>
          <w:sz w:val="24"/>
        </w:rPr>
        <w:t> </w:t>
      </w:r>
      <w:r>
        <w:rPr>
          <w:b/>
          <w:sz w:val="24"/>
        </w:rPr>
        <w:t>qualified</w:t>
      </w:r>
      <w:r>
        <w:rPr>
          <w:b/>
          <w:spacing w:val="-4"/>
          <w:sz w:val="24"/>
        </w:rPr>
        <w:t> </w:t>
      </w:r>
      <w:r>
        <w:rPr>
          <w:b/>
          <w:sz w:val="24"/>
        </w:rPr>
        <w:t>fair</w:t>
      </w:r>
      <w:r>
        <w:rPr>
          <w:b/>
          <w:spacing w:val="-3"/>
          <w:sz w:val="24"/>
        </w:rPr>
        <w:t> </w:t>
      </w:r>
      <w:r>
        <w:rPr>
          <w:b/>
          <w:sz w:val="24"/>
        </w:rPr>
        <w:t>housing</w:t>
      </w:r>
      <w:r>
        <w:rPr>
          <w:b/>
          <w:spacing w:val="-3"/>
          <w:sz w:val="24"/>
        </w:rPr>
        <w:t> </w:t>
      </w:r>
      <w:r>
        <w:rPr>
          <w:b/>
          <w:sz w:val="24"/>
        </w:rPr>
        <w:t>experts</w:t>
      </w:r>
      <w:r>
        <w:rPr>
          <w:b/>
          <w:spacing w:val="-3"/>
          <w:sz w:val="24"/>
        </w:rPr>
        <w:t> </w:t>
      </w:r>
      <w:r>
        <w:rPr>
          <w:sz w:val="24"/>
        </w:rPr>
        <w:t>within</w:t>
      </w:r>
      <w:r>
        <w:rPr>
          <w:spacing w:val="-5"/>
          <w:sz w:val="24"/>
        </w:rPr>
        <w:t> </w:t>
      </w:r>
      <w:r>
        <w:rPr>
          <w:sz w:val="24"/>
        </w:rPr>
        <w:t>the</w:t>
      </w:r>
      <w:r>
        <w:rPr>
          <w:spacing w:val="-4"/>
          <w:sz w:val="24"/>
        </w:rPr>
        <w:t> </w:t>
      </w:r>
      <w:r>
        <w:rPr>
          <w:sz w:val="24"/>
        </w:rPr>
        <w:t>Office</w:t>
      </w:r>
      <w:r>
        <w:rPr>
          <w:spacing w:val="-3"/>
          <w:sz w:val="24"/>
        </w:rPr>
        <w:t> </w:t>
      </w:r>
      <w:r>
        <w:rPr>
          <w:sz w:val="24"/>
        </w:rPr>
        <w:t>of</w:t>
      </w:r>
      <w:r>
        <w:rPr>
          <w:spacing w:val="-3"/>
          <w:sz w:val="24"/>
        </w:rPr>
        <w:t> </w:t>
      </w:r>
      <w:r>
        <w:rPr>
          <w:sz w:val="24"/>
        </w:rPr>
        <w:t>Fair</w:t>
      </w:r>
      <w:r>
        <w:rPr>
          <w:spacing w:val="-3"/>
          <w:sz w:val="24"/>
        </w:rPr>
        <w:t> </w:t>
      </w:r>
      <w:r>
        <w:rPr>
          <w:sz w:val="24"/>
        </w:rPr>
        <w:t>Housing</w:t>
      </w:r>
      <w:r>
        <w:rPr>
          <w:spacing w:val="-5"/>
          <w:sz w:val="24"/>
        </w:rPr>
        <w:t> </w:t>
      </w:r>
      <w:r>
        <w:rPr>
          <w:sz w:val="24"/>
        </w:rPr>
        <w:t>and</w:t>
      </w:r>
      <w:r>
        <w:rPr>
          <w:spacing w:val="-3"/>
          <w:sz w:val="24"/>
        </w:rPr>
        <w:t> </w:t>
      </w:r>
      <w:r>
        <w:rPr>
          <w:sz w:val="24"/>
        </w:rPr>
        <w:t>Equal</w:t>
      </w:r>
      <w:r>
        <w:rPr>
          <w:spacing w:val="-3"/>
          <w:sz w:val="24"/>
        </w:rPr>
        <w:t> </w:t>
      </w:r>
      <w:r>
        <w:rPr>
          <w:sz w:val="24"/>
        </w:rPr>
        <w:t>Opportunity to investigate and adjudicate fair housing complaints, including those relying on disparate </w:t>
      </w:r>
      <w:r>
        <w:rPr>
          <w:spacing w:val="-2"/>
          <w:sz w:val="24"/>
        </w:rPr>
        <w:t>impact.</w:t>
      </w:r>
    </w:p>
    <w:p>
      <w:pPr>
        <w:pStyle w:val="ListParagraph"/>
        <w:numPr>
          <w:ilvl w:val="0"/>
          <w:numId w:val="1"/>
        </w:numPr>
        <w:tabs>
          <w:tab w:pos="839" w:val="left" w:leader="none"/>
        </w:tabs>
        <w:spacing w:line="240" w:lineRule="auto" w:before="0" w:after="0"/>
        <w:ind w:left="839" w:right="0" w:hanging="360"/>
        <w:jc w:val="left"/>
        <w:rPr>
          <w:sz w:val="24"/>
        </w:rPr>
      </w:pPr>
      <w:r>
        <w:rPr>
          <w:b/>
          <w:sz w:val="24"/>
        </w:rPr>
        <w:t>Vigorously</w:t>
      </w:r>
      <w:r>
        <w:rPr>
          <w:b/>
          <w:spacing w:val="-4"/>
          <w:sz w:val="24"/>
        </w:rPr>
        <w:t> </w:t>
      </w:r>
      <w:r>
        <w:rPr>
          <w:b/>
          <w:sz w:val="24"/>
        </w:rPr>
        <w:t>enforce</w:t>
      </w:r>
      <w:r>
        <w:rPr>
          <w:b/>
          <w:spacing w:val="-1"/>
          <w:sz w:val="24"/>
        </w:rPr>
        <w:t> </w:t>
      </w:r>
      <w:r>
        <w:rPr>
          <w:b/>
          <w:sz w:val="24"/>
        </w:rPr>
        <w:t>and</w:t>
      </w:r>
      <w:r>
        <w:rPr>
          <w:b/>
          <w:spacing w:val="-4"/>
          <w:sz w:val="24"/>
        </w:rPr>
        <w:t> </w:t>
      </w:r>
      <w:r>
        <w:rPr>
          <w:b/>
          <w:sz w:val="24"/>
        </w:rPr>
        <w:t>uphold</w:t>
      </w:r>
      <w:r>
        <w:rPr>
          <w:b/>
          <w:spacing w:val="-2"/>
          <w:sz w:val="24"/>
        </w:rPr>
        <w:t> </w:t>
      </w:r>
      <w:r>
        <w:rPr>
          <w:sz w:val="24"/>
        </w:rPr>
        <w:t>all</w:t>
      </w:r>
      <w:r>
        <w:rPr>
          <w:spacing w:val="-3"/>
          <w:sz w:val="24"/>
        </w:rPr>
        <w:t> </w:t>
      </w:r>
      <w:r>
        <w:rPr>
          <w:sz w:val="24"/>
        </w:rPr>
        <w:t>provisions</w:t>
      </w:r>
      <w:r>
        <w:rPr>
          <w:spacing w:val="-1"/>
          <w:sz w:val="24"/>
        </w:rPr>
        <w:t> </w:t>
      </w:r>
      <w:r>
        <w:rPr>
          <w:sz w:val="24"/>
        </w:rPr>
        <w:t>of</w:t>
      </w:r>
      <w:r>
        <w:rPr>
          <w:spacing w:val="-2"/>
          <w:sz w:val="24"/>
        </w:rPr>
        <w:t> </w:t>
      </w:r>
      <w:r>
        <w:rPr>
          <w:sz w:val="24"/>
        </w:rPr>
        <w:t>the</w:t>
      </w:r>
      <w:r>
        <w:rPr>
          <w:spacing w:val="-1"/>
          <w:sz w:val="24"/>
        </w:rPr>
        <w:t> </w:t>
      </w:r>
      <w:r>
        <w:rPr>
          <w:sz w:val="24"/>
        </w:rPr>
        <w:t>Fair</w:t>
      </w:r>
      <w:r>
        <w:rPr>
          <w:spacing w:val="-2"/>
          <w:sz w:val="24"/>
        </w:rPr>
        <w:t> </w:t>
      </w:r>
      <w:r>
        <w:rPr>
          <w:sz w:val="24"/>
        </w:rPr>
        <w:t>Housing</w:t>
      </w:r>
      <w:r>
        <w:rPr>
          <w:spacing w:val="-1"/>
          <w:sz w:val="24"/>
        </w:rPr>
        <w:t> </w:t>
      </w:r>
      <w:r>
        <w:rPr>
          <w:spacing w:val="-4"/>
          <w:sz w:val="24"/>
        </w:rPr>
        <w:t>Act.</w:t>
      </w:r>
    </w:p>
    <w:p>
      <w:pPr>
        <w:pStyle w:val="BodyText"/>
        <w:spacing w:before="3"/>
        <w:ind w:left="0"/>
      </w:pPr>
    </w:p>
    <w:p>
      <w:pPr>
        <w:pStyle w:val="BodyText"/>
        <w:ind w:left="119" w:right="152"/>
      </w:pPr>
      <w:r>
        <w:rPr/>
        <w:t>Our nation’s civil rights history reminds us that seemingly neutral policies often mask intentional discrimination and deep structural inequities. The disparate impact doctrine remains a vital mechanism for exposing</w:t>
      </w:r>
      <w:r>
        <w:rPr>
          <w:spacing w:val="-2"/>
        </w:rPr>
        <w:t> </w:t>
      </w:r>
      <w:r>
        <w:rPr/>
        <w:t>and remedying these injustices. We</w:t>
      </w:r>
      <w:r>
        <w:rPr>
          <w:spacing w:val="-1"/>
        </w:rPr>
        <w:t> </w:t>
      </w:r>
      <w:r>
        <w:rPr/>
        <w:t>trust</w:t>
      </w:r>
      <w:r>
        <w:rPr>
          <w:spacing w:val="-1"/>
        </w:rPr>
        <w:t> </w:t>
      </w:r>
      <w:r>
        <w:rPr/>
        <w:t>that you will uphold HUD’s legal obligations and reject</w:t>
      </w:r>
      <w:r>
        <w:rPr>
          <w:spacing w:val="-3"/>
        </w:rPr>
        <w:t> </w:t>
      </w:r>
      <w:r>
        <w:rPr/>
        <w:t>any</w:t>
      </w:r>
      <w:r>
        <w:rPr>
          <w:spacing w:val="-3"/>
        </w:rPr>
        <w:t> </w:t>
      </w:r>
      <w:r>
        <w:rPr/>
        <w:t>effort</w:t>
      </w:r>
      <w:r>
        <w:rPr>
          <w:spacing w:val="-4"/>
        </w:rPr>
        <w:t> </w:t>
      </w:r>
      <w:r>
        <w:rPr/>
        <w:t>to</w:t>
      </w:r>
      <w:r>
        <w:rPr>
          <w:spacing w:val="-3"/>
        </w:rPr>
        <w:t> </w:t>
      </w:r>
      <w:r>
        <w:rPr/>
        <w:t>roll</w:t>
      </w:r>
      <w:r>
        <w:rPr>
          <w:spacing w:val="-3"/>
        </w:rPr>
        <w:t> </w:t>
      </w:r>
      <w:r>
        <w:rPr/>
        <w:t>back</w:t>
      </w:r>
      <w:r>
        <w:rPr>
          <w:spacing w:val="-3"/>
        </w:rPr>
        <w:t> </w:t>
      </w:r>
      <w:r>
        <w:rPr/>
        <w:t>these</w:t>
      </w:r>
      <w:r>
        <w:rPr>
          <w:spacing w:val="-3"/>
        </w:rPr>
        <w:t> </w:t>
      </w:r>
      <w:r>
        <w:rPr/>
        <w:t>fundamental</w:t>
      </w:r>
      <w:r>
        <w:rPr>
          <w:spacing w:val="-3"/>
        </w:rPr>
        <w:t> </w:t>
      </w:r>
      <w:r>
        <w:rPr/>
        <w:t>protections.</w:t>
      </w:r>
      <w:r>
        <w:rPr>
          <w:spacing w:val="-5"/>
        </w:rPr>
        <w:t> </w:t>
      </w:r>
      <w:r>
        <w:rPr/>
        <w:t>Additionally,</w:t>
      </w:r>
      <w:r>
        <w:rPr>
          <w:spacing w:val="-3"/>
        </w:rPr>
        <w:t> </w:t>
      </w:r>
      <w:r>
        <w:rPr/>
        <w:t>we</w:t>
      </w:r>
      <w:r>
        <w:rPr>
          <w:spacing w:val="-3"/>
        </w:rPr>
        <w:t> </w:t>
      </w:r>
      <w:r>
        <w:rPr/>
        <w:t>request</w:t>
      </w:r>
      <w:r>
        <w:rPr>
          <w:spacing w:val="-4"/>
        </w:rPr>
        <w:t> </w:t>
      </w:r>
      <w:r>
        <w:rPr/>
        <w:t>a</w:t>
      </w:r>
      <w:r>
        <w:rPr>
          <w:spacing w:val="-3"/>
        </w:rPr>
        <w:t> </w:t>
      </w:r>
      <w:r>
        <w:rPr/>
        <w:t>meeting</w:t>
      </w:r>
      <w:r>
        <w:rPr>
          <w:spacing w:val="-3"/>
        </w:rPr>
        <w:t> </w:t>
      </w:r>
      <w:r>
        <w:rPr/>
        <w:t>with</w:t>
      </w:r>
      <w:r>
        <w:rPr>
          <w:spacing w:val="-3"/>
        </w:rPr>
        <w:t> </w:t>
      </w:r>
      <w:r>
        <w:rPr/>
        <w:t>you to discuss this important issue. Please provide dates and times in the next week when you would be available to meet with us.</w:t>
      </w:r>
    </w:p>
    <w:p>
      <w:pPr>
        <w:pStyle w:val="BodyText"/>
        <w:spacing w:before="5"/>
        <w:ind w:left="0"/>
      </w:pPr>
    </w:p>
    <w:p>
      <w:pPr>
        <w:pStyle w:val="BodyText"/>
        <w:spacing w:line="482" w:lineRule="auto"/>
        <w:ind w:right="4150"/>
      </w:pPr>
      <w:r>
        <w:rPr/>
        <w:t>Thank</w:t>
      </w:r>
      <w:r>
        <w:rPr>
          <w:spacing w:val="-4"/>
        </w:rPr>
        <w:t> </w:t>
      </w:r>
      <w:r>
        <w:rPr/>
        <w:t>you</w:t>
      </w:r>
      <w:r>
        <w:rPr>
          <w:spacing w:val="-4"/>
        </w:rPr>
        <w:t> </w:t>
      </w:r>
      <w:r>
        <w:rPr/>
        <w:t>for</w:t>
      </w:r>
      <w:r>
        <w:rPr>
          <w:spacing w:val="-4"/>
        </w:rPr>
        <w:t> </w:t>
      </w:r>
      <w:r>
        <w:rPr/>
        <w:t>your</w:t>
      </w:r>
      <w:r>
        <w:rPr>
          <w:spacing w:val="-4"/>
        </w:rPr>
        <w:t> </w:t>
      </w:r>
      <w:r>
        <w:rPr/>
        <w:t>prompt</w:t>
      </w:r>
      <w:r>
        <w:rPr>
          <w:spacing w:val="-4"/>
        </w:rPr>
        <w:t> </w:t>
      </w:r>
      <w:r>
        <w:rPr/>
        <w:t>attention</w:t>
      </w:r>
      <w:r>
        <w:rPr>
          <w:spacing w:val="-4"/>
        </w:rPr>
        <w:t> </w:t>
      </w:r>
      <w:r>
        <w:rPr/>
        <w:t>to</w:t>
      </w:r>
      <w:r>
        <w:rPr>
          <w:spacing w:val="-4"/>
        </w:rPr>
        <w:t> </w:t>
      </w:r>
      <w:r>
        <w:rPr/>
        <w:t>this</w:t>
      </w:r>
      <w:r>
        <w:rPr>
          <w:spacing w:val="-5"/>
        </w:rPr>
        <w:t> </w:t>
      </w:r>
      <w:r>
        <w:rPr/>
        <w:t>critical</w:t>
      </w:r>
      <w:r>
        <w:rPr>
          <w:spacing w:val="-4"/>
        </w:rPr>
        <w:t> </w:t>
      </w:r>
      <w:r>
        <w:rPr/>
        <w:t>matter. </w:t>
      </w:r>
      <w:r>
        <w:rPr>
          <w:spacing w:val="-2"/>
        </w:rPr>
        <w:t>Sincerely,</w:t>
      </w:r>
    </w:p>
    <w:p>
      <w:pPr>
        <w:pStyle w:val="BodyText"/>
        <w:spacing w:line="274" w:lineRule="exact"/>
      </w:pPr>
      <w:r>
        <w:rPr/>
        <w:t>National</w:t>
      </w:r>
      <w:r>
        <w:rPr>
          <w:spacing w:val="-4"/>
        </w:rPr>
        <w:t> </w:t>
      </w:r>
      <w:r>
        <w:rPr/>
        <w:t>Fair</w:t>
      </w:r>
      <w:r>
        <w:rPr>
          <w:spacing w:val="-2"/>
        </w:rPr>
        <w:t> </w:t>
      </w:r>
      <w:r>
        <w:rPr/>
        <w:t>Housing</w:t>
      </w:r>
      <w:r>
        <w:rPr>
          <w:spacing w:val="-15"/>
        </w:rPr>
        <w:t> </w:t>
      </w:r>
      <w:r>
        <w:rPr>
          <w:spacing w:val="-2"/>
        </w:rPr>
        <w:t>Alliance</w:t>
      </w:r>
    </w:p>
    <w:p>
      <w:pPr>
        <w:pStyle w:val="BodyText"/>
        <w:spacing w:line="550" w:lineRule="atLeast" w:before="2"/>
        <w:ind w:right="4767"/>
      </w:pPr>
      <w:r>
        <w:rPr/>
        <w:t>NAACP</w:t>
      </w:r>
      <w:r>
        <w:rPr>
          <w:spacing w:val="-15"/>
        </w:rPr>
        <w:t> </w:t>
      </w:r>
      <w:r>
        <w:rPr/>
        <w:t>Legal</w:t>
      </w:r>
      <w:r>
        <w:rPr>
          <w:spacing w:val="-7"/>
        </w:rPr>
        <w:t> </w:t>
      </w:r>
      <w:r>
        <w:rPr/>
        <w:t>Defense</w:t>
      </w:r>
      <w:r>
        <w:rPr>
          <w:spacing w:val="-8"/>
        </w:rPr>
        <w:t> </w:t>
      </w:r>
      <w:r>
        <w:rPr/>
        <w:t>and</w:t>
      </w:r>
      <w:r>
        <w:rPr>
          <w:spacing w:val="-7"/>
        </w:rPr>
        <w:t> </w:t>
      </w:r>
      <w:r>
        <w:rPr/>
        <w:t>Educational</w:t>
      </w:r>
      <w:r>
        <w:rPr>
          <w:spacing w:val="-7"/>
        </w:rPr>
        <w:t> </w:t>
      </w:r>
      <w:r>
        <w:rPr/>
        <w:t>Fund,</w:t>
      </w:r>
      <w:r>
        <w:rPr>
          <w:spacing w:val="-7"/>
        </w:rPr>
        <w:t> </w:t>
      </w:r>
      <w:r>
        <w:rPr/>
        <w:t>Inc. Access Ready Inc.</w:t>
      </w:r>
    </w:p>
    <w:p>
      <w:pPr>
        <w:pStyle w:val="BodyText"/>
        <w:spacing w:before="206"/>
      </w:pPr>
      <w:r>
        <w:rPr/>
        <w:t>American</w:t>
      </w:r>
      <w:r>
        <w:rPr>
          <w:spacing w:val="-3"/>
        </w:rPr>
        <w:t> </w:t>
      </w:r>
      <w:r>
        <w:rPr/>
        <w:t>Civil</w:t>
      </w:r>
      <w:r>
        <w:rPr>
          <w:spacing w:val="-2"/>
        </w:rPr>
        <w:t> </w:t>
      </w:r>
      <w:r>
        <w:rPr/>
        <w:t>Liberties</w:t>
      </w:r>
      <w:r>
        <w:rPr>
          <w:spacing w:val="-2"/>
        </w:rPr>
        <w:t> Union</w:t>
      </w:r>
    </w:p>
    <w:p>
      <w:pPr>
        <w:spacing w:after="0"/>
        <w:sectPr>
          <w:pgSz w:w="12240" w:h="15840"/>
          <w:pgMar w:header="0" w:footer="1078" w:top="1380" w:bottom="1260" w:left="960" w:right="980"/>
        </w:sectPr>
      </w:pPr>
    </w:p>
    <w:p>
      <w:pPr>
        <w:pStyle w:val="BodyText"/>
        <w:spacing w:line="417" w:lineRule="auto" w:before="60"/>
        <w:ind w:right="4767"/>
      </w:pPr>
      <w:r>
        <w:rPr/>
        <w:t>Americans</w:t>
      </w:r>
      <w:r>
        <w:rPr>
          <w:spacing w:val="-8"/>
        </w:rPr>
        <w:t> </w:t>
      </w:r>
      <w:r>
        <w:rPr/>
        <w:t>for</w:t>
      </w:r>
      <w:r>
        <w:rPr>
          <w:spacing w:val="-8"/>
        </w:rPr>
        <w:t> </w:t>
      </w:r>
      <w:r>
        <w:rPr/>
        <w:t>Financial</w:t>
      </w:r>
      <w:r>
        <w:rPr>
          <w:spacing w:val="-8"/>
        </w:rPr>
        <w:t> </w:t>
      </w:r>
      <w:r>
        <w:rPr/>
        <w:t>Reform</w:t>
      </w:r>
      <w:r>
        <w:rPr>
          <w:spacing w:val="-8"/>
        </w:rPr>
        <w:t> </w:t>
      </w:r>
      <w:r>
        <w:rPr/>
        <w:t>Education</w:t>
      </w:r>
      <w:r>
        <w:rPr>
          <w:spacing w:val="-8"/>
        </w:rPr>
        <w:t> </w:t>
      </w:r>
      <w:r>
        <w:rPr/>
        <w:t>Fund Autistic Self Advocacy Network</w:t>
      </w:r>
    </w:p>
    <w:p>
      <w:pPr>
        <w:pStyle w:val="BodyText"/>
        <w:spacing w:line="274" w:lineRule="exact"/>
      </w:pPr>
      <w:r>
        <w:rPr/>
        <w:t>Disability</w:t>
      </w:r>
      <w:r>
        <w:rPr>
          <w:spacing w:val="-4"/>
        </w:rPr>
        <w:t> </w:t>
      </w:r>
      <w:r>
        <w:rPr/>
        <w:t>Rights</w:t>
      </w:r>
      <w:r>
        <w:rPr>
          <w:spacing w:val="-2"/>
        </w:rPr>
        <w:t> </w:t>
      </w:r>
      <w:r>
        <w:rPr/>
        <w:t>Education</w:t>
      </w:r>
      <w:r>
        <w:rPr>
          <w:spacing w:val="-2"/>
        </w:rPr>
        <w:t> </w:t>
      </w:r>
      <w:r>
        <w:rPr/>
        <w:t>and</w:t>
      </w:r>
      <w:r>
        <w:rPr>
          <w:spacing w:val="-2"/>
        </w:rPr>
        <w:t> </w:t>
      </w:r>
      <w:r>
        <w:rPr/>
        <w:t>Defense</w:t>
      </w:r>
      <w:r>
        <w:rPr>
          <w:spacing w:val="-2"/>
        </w:rPr>
        <w:t> </w:t>
      </w:r>
      <w:r>
        <w:rPr>
          <w:spacing w:val="-4"/>
        </w:rPr>
        <w:t>Fund</w:t>
      </w:r>
    </w:p>
    <w:p>
      <w:pPr>
        <w:pStyle w:val="BodyText"/>
        <w:spacing w:line="417" w:lineRule="auto" w:before="204"/>
        <w:ind w:right="4150"/>
      </w:pPr>
      <w:r>
        <w:rPr/>
        <w:t>Greater</w:t>
      </w:r>
      <w:r>
        <w:rPr>
          <w:spacing w:val="-5"/>
        </w:rPr>
        <w:t> </w:t>
      </w:r>
      <w:r>
        <w:rPr/>
        <w:t>Boston</w:t>
      </w:r>
      <w:r>
        <w:rPr>
          <w:spacing w:val="-5"/>
        </w:rPr>
        <w:t> </w:t>
      </w:r>
      <w:r>
        <w:rPr/>
        <w:t>Legal</w:t>
      </w:r>
      <w:r>
        <w:rPr>
          <w:spacing w:val="-5"/>
        </w:rPr>
        <w:t> </w:t>
      </w:r>
      <w:r>
        <w:rPr/>
        <w:t>Services</w:t>
      </w:r>
      <w:r>
        <w:rPr>
          <w:spacing w:val="-5"/>
        </w:rPr>
        <w:t> </w:t>
      </w:r>
      <w:r>
        <w:rPr/>
        <w:t>(on</w:t>
      </w:r>
      <w:r>
        <w:rPr>
          <w:spacing w:val="-5"/>
        </w:rPr>
        <w:t> </w:t>
      </w:r>
      <w:r>
        <w:rPr/>
        <w:t>behalf</w:t>
      </w:r>
      <w:r>
        <w:rPr>
          <w:spacing w:val="-5"/>
        </w:rPr>
        <w:t> </w:t>
      </w:r>
      <w:r>
        <w:rPr/>
        <w:t>of</w:t>
      </w:r>
      <w:r>
        <w:rPr>
          <w:spacing w:val="-6"/>
        </w:rPr>
        <w:t> </w:t>
      </w:r>
      <w:r>
        <w:rPr/>
        <w:t>client</w:t>
      </w:r>
      <w:r>
        <w:rPr>
          <w:spacing w:val="-6"/>
        </w:rPr>
        <w:t> </w:t>
      </w:r>
      <w:r>
        <w:rPr/>
        <w:t>BTC) Justice in Aging</w:t>
      </w:r>
    </w:p>
    <w:p>
      <w:pPr>
        <w:pStyle w:val="BodyText"/>
        <w:spacing w:line="276" w:lineRule="exact"/>
      </w:pPr>
      <w:r>
        <w:rPr/>
        <w:t>The</w:t>
      </w:r>
      <w:r>
        <w:rPr>
          <w:spacing w:val="-1"/>
        </w:rPr>
        <w:t> </w:t>
      </w:r>
      <w:r>
        <w:rPr>
          <w:spacing w:val="-2"/>
        </w:rPr>
        <w:t>Kelsey</w:t>
      </w:r>
    </w:p>
    <w:p>
      <w:pPr>
        <w:pStyle w:val="BodyText"/>
        <w:spacing w:before="203"/>
      </w:pPr>
      <w:r>
        <w:rPr/>
        <w:t>National</w:t>
      </w:r>
      <w:r>
        <w:rPr>
          <w:spacing w:val="-15"/>
        </w:rPr>
        <w:t> </w:t>
      </w:r>
      <w:r>
        <w:rPr/>
        <w:t>Action</w:t>
      </w:r>
      <w:r>
        <w:rPr>
          <w:spacing w:val="-2"/>
        </w:rPr>
        <w:t> </w:t>
      </w:r>
      <w:r>
        <w:rPr/>
        <w:t>Network</w:t>
      </w:r>
      <w:r>
        <w:rPr>
          <w:spacing w:val="-3"/>
        </w:rPr>
        <w:t> </w:t>
      </w:r>
      <w:r>
        <w:rPr>
          <w:spacing w:val="-2"/>
        </w:rPr>
        <w:t>(NAN)</w:t>
      </w:r>
    </w:p>
    <w:p>
      <w:pPr>
        <w:pStyle w:val="BodyText"/>
        <w:spacing w:line="417" w:lineRule="auto" w:before="204"/>
      </w:pPr>
      <w:r>
        <w:rPr/>
        <w:t>The</w:t>
      </w:r>
      <w:r>
        <w:rPr>
          <w:spacing w:val="-13"/>
        </w:rPr>
        <w:t> </w:t>
      </w:r>
      <w:r>
        <w:rPr/>
        <w:t>National</w:t>
      </w:r>
      <w:r>
        <w:rPr>
          <w:spacing w:val="-7"/>
        </w:rPr>
        <w:t> </w:t>
      </w:r>
      <w:r>
        <w:rPr/>
        <w:t>Coalition</w:t>
      </w:r>
      <w:r>
        <w:rPr>
          <w:spacing w:val="-7"/>
        </w:rPr>
        <w:t> </w:t>
      </w:r>
      <w:r>
        <w:rPr/>
        <w:t>for</w:t>
      </w:r>
      <w:r>
        <w:rPr>
          <w:spacing w:val="-15"/>
        </w:rPr>
        <w:t> </w:t>
      </w:r>
      <w:r>
        <w:rPr/>
        <w:t>Asian</w:t>
      </w:r>
      <w:r>
        <w:rPr>
          <w:spacing w:val="-7"/>
        </w:rPr>
        <w:t> </w:t>
      </w:r>
      <w:r>
        <w:rPr/>
        <w:t>Pacific</w:t>
      </w:r>
      <w:r>
        <w:rPr>
          <w:spacing w:val="-15"/>
        </w:rPr>
        <w:t> </w:t>
      </w:r>
      <w:r>
        <w:rPr/>
        <w:t>American</w:t>
      </w:r>
      <w:r>
        <w:rPr>
          <w:spacing w:val="-7"/>
        </w:rPr>
        <w:t> </w:t>
      </w:r>
      <w:r>
        <w:rPr/>
        <w:t>Community</w:t>
      </w:r>
      <w:r>
        <w:rPr>
          <w:spacing w:val="-7"/>
        </w:rPr>
        <w:t> </w:t>
      </w:r>
      <w:r>
        <w:rPr/>
        <w:t>Development</w:t>
      </w:r>
      <w:r>
        <w:rPr>
          <w:spacing w:val="-7"/>
        </w:rPr>
        <w:t> </w:t>
      </w:r>
      <w:r>
        <w:rPr/>
        <w:t>(National</w:t>
      </w:r>
      <w:r>
        <w:rPr>
          <w:spacing w:val="-7"/>
        </w:rPr>
        <w:t> </w:t>
      </w:r>
      <w:r>
        <w:rPr/>
        <w:t>CAPACD) National Coalition for the Homeless</w:t>
      </w:r>
    </w:p>
    <w:p>
      <w:pPr>
        <w:pStyle w:val="BodyText"/>
        <w:spacing w:line="276" w:lineRule="exact"/>
      </w:pPr>
      <w:r>
        <w:rPr/>
        <w:t>National</w:t>
      </w:r>
      <w:r>
        <w:rPr>
          <w:spacing w:val="-3"/>
        </w:rPr>
        <w:t> </w:t>
      </w:r>
      <w:r>
        <w:rPr/>
        <w:t>Community</w:t>
      </w:r>
      <w:r>
        <w:rPr>
          <w:spacing w:val="-3"/>
        </w:rPr>
        <w:t> </w:t>
      </w:r>
      <w:r>
        <w:rPr/>
        <w:t>Reinvestment</w:t>
      </w:r>
      <w:r>
        <w:rPr>
          <w:spacing w:val="-3"/>
        </w:rPr>
        <w:t> </w:t>
      </w:r>
      <w:r>
        <w:rPr/>
        <w:t>Coalition</w:t>
      </w:r>
      <w:r>
        <w:rPr>
          <w:spacing w:val="-2"/>
        </w:rPr>
        <w:t> (NCRC)</w:t>
      </w:r>
    </w:p>
    <w:p>
      <w:pPr>
        <w:pStyle w:val="BodyText"/>
        <w:spacing w:line="417" w:lineRule="auto" w:before="203"/>
        <w:ind w:right="2797"/>
      </w:pPr>
      <w:r>
        <w:rPr/>
        <w:t>National</w:t>
      </w:r>
      <w:r>
        <w:rPr>
          <w:spacing w:val="-4"/>
        </w:rPr>
        <w:t> </w:t>
      </w:r>
      <w:r>
        <w:rPr/>
        <w:t>Consumer</w:t>
      </w:r>
      <w:r>
        <w:rPr>
          <w:spacing w:val="-4"/>
        </w:rPr>
        <w:t> </w:t>
      </w:r>
      <w:r>
        <w:rPr/>
        <w:t>Law</w:t>
      </w:r>
      <w:r>
        <w:rPr>
          <w:spacing w:val="-6"/>
        </w:rPr>
        <w:t> </w:t>
      </w:r>
      <w:r>
        <w:rPr/>
        <w:t>Center</w:t>
      </w:r>
      <w:r>
        <w:rPr>
          <w:spacing w:val="-4"/>
        </w:rPr>
        <w:t> </w:t>
      </w:r>
      <w:r>
        <w:rPr/>
        <w:t>(on</w:t>
      </w:r>
      <w:r>
        <w:rPr>
          <w:spacing w:val="-6"/>
        </w:rPr>
        <w:t> </w:t>
      </w:r>
      <w:r>
        <w:rPr/>
        <w:t>behalf</w:t>
      </w:r>
      <w:r>
        <w:rPr>
          <w:spacing w:val="-4"/>
        </w:rPr>
        <w:t> </w:t>
      </w:r>
      <w:r>
        <w:rPr/>
        <w:t>of</w:t>
      </w:r>
      <w:r>
        <w:rPr>
          <w:spacing w:val="-4"/>
        </w:rPr>
        <w:t> </w:t>
      </w:r>
      <w:r>
        <w:rPr/>
        <w:t>its</w:t>
      </w:r>
      <w:r>
        <w:rPr>
          <w:spacing w:val="-5"/>
        </w:rPr>
        <w:t> </w:t>
      </w:r>
      <w:r>
        <w:rPr/>
        <w:t>low-income</w:t>
      </w:r>
      <w:r>
        <w:rPr>
          <w:spacing w:val="-5"/>
        </w:rPr>
        <w:t> </w:t>
      </w:r>
      <w:r>
        <w:rPr/>
        <w:t>clients) National Housing Law Project</w:t>
      </w:r>
    </w:p>
    <w:p>
      <w:pPr>
        <w:pStyle w:val="BodyText"/>
        <w:spacing w:line="415" w:lineRule="auto"/>
        <w:ind w:right="5635"/>
      </w:pPr>
      <w:r>
        <w:rPr/>
        <w:t>National</w:t>
      </w:r>
      <w:r>
        <w:rPr>
          <w:spacing w:val="-9"/>
        </w:rPr>
        <w:t> </w:t>
      </w:r>
      <w:r>
        <w:rPr/>
        <w:t>Low</w:t>
      </w:r>
      <w:r>
        <w:rPr>
          <w:spacing w:val="-10"/>
        </w:rPr>
        <w:t> </w:t>
      </w:r>
      <w:r>
        <w:rPr/>
        <w:t>Income</w:t>
      </w:r>
      <w:r>
        <w:rPr>
          <w:spacing w:val="-9"/>
        </w:rPr>
        <w:t> </w:t>
      </w:r>
      <w:r>
        <w:rPr/>
        <w:t>Housing</w:t>
      </w:r>
      <w:r>
        <w:rPr>
          <w:spacing w:val="-9"/>
        </w:rPr>
        <w:t> </w:t>
      </w:r>
      <w:r>
        <w:rPr/>
        <w:t>Coalition National Women’s Law Center</w:t>
      </w:r>
    </w:p>
    <w:p>
      <w:pPr>
        <w:pStyle w:val="BodyText"/>
        <w:spacing w:line="417" w:lineRule="auto" w:before="3"/>
        <w:ind w:right="5635"/>
      </w:pPr>
      <w:r>
        <w:rPr/>
        <w:t>Poverty</w:t>
      </w:r>
      <w:r>
        <w:rPr>
          <w:spacing w:val="-13"/>
        </w:rPr>
        <w:t> </w:t>
      </w:r>
      <w:r>
        <w:rPr/>
        <w:t>&amp;</w:t>
      </w:r>
      <w:r>
        <w:rPr>
          <w:spacing w:val="-8"/>
        </w:rPr>
        <w:t> </w:t>
      </w:r>
      <w:r>
        <w:rPr/>
        <w:t>Race</w:t>
      </w:r>
      <w:r>
        <w:rPr>
          <w:spacing w:val="-8"/>
        </w:rPr>
        <w:t> </w:t>
      </w:r>
      <w:r>
        <w:rPr/>
        <w:t>Research</w:t>
      </w:r>
      <w:r>
        <w:rPr>
          <w:spacing w:val="-15"/>
        </w:rPr>
        <w:t> </w:t>
      </w:r>
      <w:r>
        <w:rPr/>
        <w:t>Action</w:t>
      </w:r>
      <w:r>
        <w:rPr>
          <w:spacing w:val="-8"/>
        </w:rPr>
        <w:t> </w:t>
      </w:r>
      <w:r>
        <w:rPr/>
        <w:t>Council </w:t>
      </w:r>
      <w:r>
        <w:rPr>
          <w:spacing w:val="-4"/>
        </w:rPr>
        <w:t>SAGE</w:t>
      </w:r>
    </w:p>
    <w:p>
      <w:pPr>
        <w:pStyle w:val="BodyText"/>
        <w:spacing w:line="276" w:lineRule="exact"/>
      </w:pPr>
      <w:r>
        <w:rPr/>
        <w:t>Southern</w:t>
      </w:r>
      <w:r>
        <w:rPr>
          <w:spacing w:val="-2"/>
        </w:rPr>
        <w:t> </w:t>
      </w:r>
      <w:r>
        <w:rPr/>
        <w:t>Poverty</w:t>
      </w:r>
      <w:r>
        <w:rPr>
          <w:spacing w:val="-2"/>
        </w:rPr>
        <w:t> </w:t>
      </w:r>
      <w:r>
        <w:rPr/>
        <w:t>Law</w:t>
      </w:r>
      <w:r>
        <w:rPr>
          <w:spacing w:val="-2"/>
        </w:rPr>
        <w:t> Center</w:t>
      </w:r>
    </w:p>
    <w:sectPr>
      <w:pgSz w:w="12240" w:h="15840"/>
      <w:pgMar w:header="0" w:footer="1078" w:top="1380" w:bottom="1260" w:left="96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40736">
              <wp:simplePos x="0" y="0"/>
              <wp:positionH relativeFrom="page">
                <wp:posOffset>3810000</wp:posOffset>
              </wp:positionH>
              <wp:positionV relativeFrom="page">
                <wp:posOffset>9234000</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pt;margin-top:727.08667pt;width:13pt;height:15.3pt;mso-position-horizontal-relative:page;mso-position-vertical-relative:page;z-index:-15775744"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2732" w:hanging="360"/>
      </w:pPr>
      <w:rPr>
        <w:rFonts w:hint="default"/>
        <w:lang w:val="en-US" w:eastAsia="en-US" w:bidi="ar-SA"/>
      </w:rPr>
    </w:lvl>
    <w:lvl w:ilvl="3">
      <w:start w:val="0"/>
      <w:numFmt w:val="bullet"/>
      <w:lvlText w:val="•"/>
      <w:lvlJc w:val="left"/>
      <w:pPr>
        <w:ind w:left="3678" w:hanging="360"/>
      </w:pPr>
      <w:rPr>
        <w:rFonts w:hint="default"/>
        <w:lang w:val="en-US" w:eastAsia="en-US" w:bidi="ar-SA"/>
      </w:rPr>
    </w:lvl>
    <w:lvl w:ilvl="4">
      <w:start w:val="0"/>
      <w:numFmt w:val="bullet"/>
      <w:lvlText w:val="•"/>
      <w:lvlJc w:val="left"/>
      <w:pPr>
        <w:ind w:left="4624" w:hanging="360"/>
      </w:pPr>
      <w:rPr>
        <w:rFonts w:hint="default"/>
        <w:lang w:val="en-US" w:eastAsia="en-US" w:bidi="ar-SA"/>
      </w:rPr>
    </w:lvl>
    <w:lvl w:ilvl="5">
      <w:start w:val="0"/>
      <w:numFmt w:val="bullet"/>
      <w:lvlText w:val="•"/>
      <w:lvlJc w:val="left"/>
      <w:pPr>
        <w:ind w:left="5570" w:hanging="360"/>
      </w:pPr>
      <w:rPr>
        <w:rFonts w:hint="default"/>
        <w:lang w:val="en-US" w:eastAsia="en-US" w:bidi="ar-SA"/>
      </w:rPr>
    </w:lvl>
    <w:lvl w:ilvl="6">
      <w:start w:val="0"/>
      <w:numFmt w:val="bullet"/>
      <w:lvlText w:val="•"/>
      <w:lvlJc w:val="left"/>
      <w:pPr>
        <w:ind w:left="6516" w:hanging="360"/>
      </w:pPr>
      <w:rPr>
        <w:rFonts w:hint="default"/>
        <w:lang w:val="en-US" w:eastAsia="en-US" w:bidi="ar-SA"/>
      </w:rPr>
    </w:lvl>
    <w:lvl w:ilvl="7">
      <w:start w:val="0"/>
      <w:numFmt w:val="bullet"/>
      <w:lvlText w:val="•"/>
      <w:lvlJc w:val="left"/>
      <w:pPr>
        <w:ind w:left="7462" w:hanging="360"/>
      </w:pPr>
      <w:rPr>
        <w:rFonts w:hint="default"/>
        <w:lang w:val="en-US" w:eastAsia="en-US" w:bidi="ar-SA"/>
      </w:rPr>
    </w:lvl>
    <w:lvl w:ilvl="8">
      <w:start w:val="0"/>
      <w:numFmt w:val="bullet"/>
      <w:lvlText w:val="•"/>
      <w:lvlJc w:val="left"/>
      <w:pPr>
        <w:ind w:left="840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2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83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propublica.org/article/trump-hud-drop-housing-discrimination-cases-housing-pollution" TargetMode="External"/><Relationship Id="rId7" Type="http://schemas.openxmlformats.org/officeDocument/2006/relationships/hyperlink" Target="https://www.c-span.org/clip/senate-committee/user-clip-exchange-between-senator-warnock-and-scott-turner/5155449" TargetMode="External"/><Relationship Id="rId8" Type="http://schemas.openxmlformats.org/officeDocument/2006/relationships/hyperlink" Target="http://www.citigroup.com/global/insights/closing-the-racial-inequality-gaps-20200922"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Rice</dc:creator>
  <dc:description/>
  <dcterms:created xsi:type="dcterms:W3CDTF">2025-08-09T00:19:46Z</dcterms:created>
  <dcterms:modified xsi:type="dcterms:W3CDTF">2025-08-09T00:19:46Z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Acrobat PDFMaker 20 for Word</vt:lpwstr>
  </property>
  <property fmtid="{D5CDD505-2E9C-101B-9397-08002B2CF9AE}" pid="4" name="LastSaved">
    <vt:filetime>2025-08-09T00:00:00Z</vt:filetime>
  </property>
  <property fmtid="{D5CDD505-2E9C-101B-9397-08002B2CF9AE}" pid="5" name="Producer">
    <vt:lpwstr>Adobe PDF Library 20.5.54</vt:lpwstr>
  </property>
  <property fmtid="{D5CDD505-2E9C-101B-9397-08002B2CF9AE}" pid="6" name="SourceModified">
    <vt:lpwstr/>
  </property>
</Properties>
</file>