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155"/>
        <w:rPr>
          <w:rFonts w:ascii="Times New Roman"/>
          <w:sz w:val="20"/>
        </w:rPr>
      </w:pPr>
      <w:r>
        <w:rPr>
          <w:rFonts w:ascii="Times New Roman"/>
          <w:sz w:val="20"/>
        </w:rPr>
        <w:drawing>
          <wp:inline distT="0" distB="0" distL="0" distR="0">
            <wp:extent cx="2669682" cy="1385316"/>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669682" cy="1385316"/>
                    </a:xfrm>
                    <a:prstGeom prst="rect">
                      <a:avLst/>
                    </a:prstGeom>
                  </pic:spPr>
                </pic:pic>
              </a:graphicData>
            </a:graphic>
          </wp:inline>
        </w:drawing>
      </w:r>
      <w:r>
        <w:rPr>
          <w:rFonts w:ascii="Times New Roman"/>
          <w:sz w:val="20"/>
        </w:rPr>
      </w:r>
    </w:p>
    <w:p>
      <w:pPr>
        <w:pStyle w:val="BodyText"/>
        <w:ind w:left="0"/>
        <w:rPr>
          <w:rFonts w:ascii="Times New Roman"/>
        </w:rPr>
      </w:pPr>
    </w:p>
    <w:p>
      <w:pPr>
        <w:pStyle w:val="BodyText"/>
        <w:spacing w:before="70"/>
        <w:ind w:left="0"/>
        <w:rPr>
          <w:rFonts w:ascii="Times New Roman"/>
        </w:rPr>
      </w:pPr>
    </w:p>
    <w:p>
      <w:pPr>
        <w:spacing w:before="0"/>
        <w:ind w:left="220" w:right="0" w:firstLine="0"/>
        <w:jc w:val="left"/>
        <w:rPr>
          <w:b/>
          <w:i/>
          <w:sz w:val="24"/>
        </w:rPr>
      </w:pPr>
      <w:r>
        <w:rPr>
          <w:b/>
          <w:i/>
          <w:sz w:val="24"/>
        </w:rPr>
        <w:t>Submitted</w:t>
      </w:r>
      <w:r>
        <w:rPr>
          <w:b/>
          <w:i/>
          <w:spacing w:val="-4"/>
          <w:sz w:val="24"/>
        </w:rPr>
        <w:t> </w:t>
      </w:r>
      <w:r>
        <w:rPr>
          <w:b/>
          <w:i/>
          <w:sz w:val="24"/>
        </w:rPr>
        <w:t>via</w:t>
      </w:r>
      <w:r>
        <w:rPr>
          <w:b/>
          <w:i/>
          <w:spacing w:val="-2"/>
          <w:sz w:val="24"/>
        </w:rPr>
        <w:t> regulations.gov</w:t>
      </w:r>
    </w:p>
    <w:p>
      <w:pPr>
        <w:pStyle w:val="BodyText"/>
        <w:spacing w:before="4"/>
        <w:ind w:left="0"/>
        <w:rPr>
          <w:b/>
          <w:i/>
        </w:rPr>
      </w:pPr>
    </w:p>
    <w:p>
      <w:pPr>
        <w:pStyle w:val="BodyText"/>
        <w:spacing w:before="1"/>
      </w:pPr>
      <w:r>
        <w:rPr/>
        <w:t>June</w:t>
      </w:r>
      <w:r>
        <w:rPr>
          <w:spacing w:val="-4"/>
        </w:rPr>
        <w:t> </w:t>
      </w:r>
      <w:r>
        <w:rPr/>
        <w:t>27,</w:t>
      </w:r>
      <w:r>
        <w:rPr>
          <w:spacing w:val="-4"/>
        </w:rPr>
        <w:t> 2025</w:t>
      </w:r>
    </w:p>
    <w:p>
      <w:pPr>
        <w:pStyle w:val="BodyText"/>
        <w:spacing w:before="7"/>
        <w:ind w:left="0"/>
      </w:pPr>
    </w:p>
    <w:p>
      <w:pPr>
        <w:pStyle w:val="BodyText"/>
        <w:spacing w:line="242" w:lineRule="auto" w:before="1"/>
        <w:ind w:right="7550"/>
      </w:pPr>
      <w:r>
        <w:rPr/>
        <w:t>Office</w:t>
      </w:r>
      <w:r>
        <w:rPr>
          <w:spacing w:val="-19"/>
        </w:rPr>
        <w:t> </w:t>
      </w:r>
      <w:r>
        <w:rPr/>
        <w:t>of</w:t>
      </w:r>
      <w:r>
        <w:rPr>
          <w:spacing w:val="-17"/>
        </w:rPr>
        <w:t> </w:t>
      </w:r>
      <w:r>
        <w:rPr/>
        <w:t>General</w:t>
      </w:r>
      <w:r>
        <w:rPr>
          <w:spacing w:val="-16"/>
        </w:rPr>
        <w:t> </w:t>
      </w:r>
      <w:r>
        <w:rPr/>
        <w:t>Counsel Regulations Division</w:t>
      </w:r>
    </w:p>
    <w:p>
      <w:pPr>
        <w:pStyle w:val="BodyText"/>
        <w:spacing w:line="244" w:lineRule="auto"/>
        <w:ind w:right="1301"/>
      </w:pPr>
      <w:r>
        <w:rPr/>
        <w:t>U.S.</w:t>
      </w:r>
      <w:r>
        <w:rPr>
          <w:spacing w:val="-9"/>
        </w:rPr>
        <w:t> </w:t>
      </w:r>
      <w:r>
        <w:rPr/>
        <w:t>Department</w:t>
      </w:r>
      <w:r>
        <w:rPr>
          <w:spacing w:val="-13"/>
        </w:rPr>
        <w:t> </w:t>
      </w:r>
      <w:r>
        <w:rPr/>
        <w:t>of</w:t>
      </w:r>
      <w:r>
        <w:rPr>
          <w:spacing w:val="-5"/>
        </w:rPr>
        <w:t> </w:t>
      </w:r>
      <w:r>
        <w:rPr/>
        <w:t>Housing</w:t>
      </w:r>
      <w:r>
        <w:rPr>
          <w:spacing w:val="-12"/>
        </w:rPr>
        <w:t> </w:t>
      </w:r>
      <w:r>
        <w:rPr/>
        <w:t>and</w:t>
      </w:r>
      <w:r>
        <w:rPr>
          <w:spacing w:val="-9"/>
        </w:rPr>
        <w:t> </w:t>
      </w:r>
      <w:r>
        <w:rPr/>
        <w:t>Urban</w:t>
      </w:r>
      <w:r>
        <w:rPr>
          <w:spacing w:val="-9"/>
        </w:rPr>
        <w:t> </w:t>
      </w:r>
      <w:r>
        <w:rPr/>
        <w:t>Development</w:t>
      </w:r>
      <w:r>
        <w:rPr>
          <w:spacing w:val="-13"/>
        </w:rPr>
        <w:t> </w:t>
      </w:r>
      <w:r>
        <w:rPr/>
        <w:t>451</w:t>
      </w:r>
      <w:r>
        <w:rPr>
          <w:spacing w:val="-9"/>
        </w:rPr>
        <w:t> </w:t>
      </w:r>
      <w:r>
        <w:rPr/>
        <w:t>7th</w:t>
      </w:r>
      <w:r>
        <w:rPr>
          <w:spacing w:val="-8"/>
        </w:rPr>
        <w:t> </w:t>
      </w:r>
      <w:r>
        <w:rPr/>
        <w:t>Street,</w:t>
      </w:r>
      <w:r>
        <w:rPr>
          <w:spacing w:val="-13"/>
        </w:rPr>
        <w:t> </w:t>
      </w:r>
      <w:r>
        <w:rPr/>
        <w:t>SW Washington, D.C. 20410</w:t>
      </w:r>
    </w:p>
    <w:p>
      <w:pPr>
        <w:pStyle w:val="Title"/>
      </w:pPr>
      <w:r>
        <w:rPr/>
        <w:t>RE:</w:t>
      </w:r>
      <w:r>
        <w:rPr>
          <w:spacing w:val="-8"/>
        </w:rPr>
        <w:t> </w:t>
      </w:r>
      <w:r>
        <w:rPr/>
        <w:t>Rescission</w:t>
      </w:r>
      <w:r>
        <w:rPr>
          <w:spacing w:val="-7"/>
        </w:rPr>
        <w:t> </w:t>
      </w:r>
      <w:r>
        <w:rPr/>
        <w:t>of</w:t>
      </w:r>
      <w:r>
        <w:rPr>
          <w:spacing w:val="-6"/>
        </w:rPr>
        <w:t> </w:t>
      </w:r>
      <w:r>
        <w:rPr/>
        <w:t>Affirmative</w:t>
      </w:r>
      <w:r>
        <w:rPr>
          <w:spacing w:val="-8"/>
        </w:rPr>
        <w:t> </w:t>
      </w:r>
      <w:r>
        <w:rPr/>
        <w:t>Fair</w:t>
      </w:r>
      <w:r>
        <w:rPr>
          <w:spacing w:val="-7"/>
        </w:rPr>
        <w:t> </w:t>
      </w:r>
      <w:r>
        <w:rPr/>
        <w:t>Housing</w:t>
      </w:r>
      <w:r>
        <w:rPr>
          <w:spacing w:val="-7"/>
        </w:rPr>
        <w:t> </w:t>
      </w:r>
      <w:r>
        <w:rPr/>
        <w:t>Marketing</w:t>
      </w:r>
      <w:r>
        <w:rPr>
          <w:spacing w:val="-8"/>
        </w:rPr>
        <w:t> </w:t>
      </w:r>
      <w:r>
        <w:rPr/>
        <w:t>Regulations</w:t>
      </w:r>
      <w:r>
        <w:rPr>
          <w:spacing w:val="-3"/>
        </w:rPr>
        <w:t> </w:t>
      </w:r>
      <w:r>
        <w:rPr/>
        <w:t>FR-6533-P-</w:t>
      </w:r>
      <w:r>
        <w:rPr>
          <w:spacing w:val="-5"/>
        </w:rPr>
        <w:t>01</w:t>
      </w:r>
    </w:p>
    <w:p>
      <w:pPr>
        <w:pStyle w:val="BodyText"/>
        <w:spacing w:before="8"/>
        <w:ind w:left="0"/>
        <w:rPr>
          <w:b/>
        </w:rPr>
      </w:pPr>
    </w:p>
    <w:p>
      <w:pPr>
        <w:pStyle w:val="BodyText"/>
        <w:ind w:right="319"/>
      </w:pPr>
      <w:r>
        <w:rPr/>
        <w:t>Thank you for the opportunity to comment on the</w:t>
      </w:r>
      <w:r>
        <w:rPr>
          <w:spacing w:val="18"/>
        </w:rPr>
        <w:t> </w:t>
      </w:r>
      <w:r>
        <w:rPr/>
        <w:t>Notice of Proposed Rulemaking,</w:t>
      </w:r>
      <w:r>
        <w:rPr>
          <w:spacing w:val="40"/>
        </w:rPr>
        <w:t> </w:t>
      </w:r>
      <w:r>
        <w:rPr/>
        <w:t>“Rescission of Affirmative Fair Housing Marketing Regulations” (FR-6533-P-01). As co-chairs of the Consortium for Constituents with Disabilities (CCD)</w:t>
      </w:r>
      <w:r>
        <w:rPr>
          <w:spacing w:val="-1"/>
        </w:rPr>
        <w:t> </w:t>
      </w:r>
      <w:r>
        <w:rPr/>
        <w:t>Housing Task Force, we urge HUD to withdraw this proposed rule. CCD is the largest coalition of national organizations working together to advocate for federal public policy that ensures the self-determination, independence,</w:t>
      </w:r>
      <w:r>
        <w:rPr>
          <w:spacing w:val="-4"/>
        </w:rPr>
        <w:t> </w:t>
      </w:r>
      <w:r>
        <w:rPr/>
        <w:t>empowerment,</w:t>
      </w:r>
      <w:r>
        <w:rPr>
          <w:spacing w:val="-4"/>
        </w:rPr>
        <w:t> </w:t>
      </w:r>
      <w:r>
        <w:rPr/>
        <w:t>integration,</w:t>
      </w:r>
      <w:r>
        <w:rPr>
          <w:spacing w:val="-6"/>
        </w:rPr>
        <w:t> </w:t>
      </w:r>
      <w:r>
        <w:rPr/>
        <w:t>and</w:t>
      </w:r>
      <w:r>
        <w:rPr>
          <w:spacing w:val="-4"/>
        </w:rPr>
        <w:t> </w:t>
      </w:r>
      <w:r>
        <w:rPr/>
        <w:t>inclusion</w:t>
      </w:r>
      <w:r>
        <w:rPr>
          <w:spacing w:val="-6"/>
        </w:rPr>
        <w:t> </w:t>
      </w:r>
      <w:r>
        <w:rPr/>
        <w:t>of children</w:t>
      </w:r>
      <w:r>
        <w:rPr>
          <w:spacing w:val="-5"/>
        </w:rPr>
        <w:t> </w:t>
      </w:r>
      <w:r>
        <w:rPr/>
        <w:t>and</w:t>
      </w:r>
      <w:r>
        <w:rPr>
          <w:spacing w:val="-6"/>
        </w:rPr>
        <w:t> </w:t>
      </w:r>
      <w:r>
        <w:rPr/>
        <w:t>adults</w:t>
      </w:r>
      <w:r>
        <w:rPr>
          <w:spacing w:val="-7"/>
        </w:rPr>
        <w:t> </w:t>
      </w:r>
      <w:r>
        <w:rPr/>
        <w:t>with</w:t>
      </w:r>
      <w:r>
        <w:rPr>
          <w:spacing w:val="-4"/>
        </w:rPr>
        <w:t> </w:t>
      </w:r>
      <w:r>
        <w:rPr/>
        <w:t>disabilities in all aspects of a society free from racism, ableism, sexism, and xenophobia, as well as LGBTQ+ discrimination and religious intolerance. The Housing Task Force works to ensure that all people with disabilities have safe, stable, accessible, affordable, and integrated housing that enables people to live in communities of their choosing, with full access to home and community-based services and supports.</w:t>
      </w:r>
    </w:p>
    <w:p>
      <w:pPr>
        <w:pStyle w:val="BodyText"/>
        <w:spacing w:before="5"/>
        <w:ind w:left="0"/>
      </w:pPr>
    </w:p>
    <w:p>
      <w:pPr>
        <w:pStyle w:val="BodyText"/>
        <w:ind w:right="281"/>
      </w:pPr>
      <w:r>
        <w:rPr/>
        <w:t>The rescinding of the affirmative fair housing (AFH) marketing regulations would undermine the goals of the federal Fair Housing Act (FHA) and its statutory mandate to affirmatively further</w:t>
      </w:r>
      <w:r>
        <w:rPr>
          <w:spacing w:val="-7"/>
        </w:rPr>
        <w:t> </w:t>
      </w:r>
      <w:r>
        <w:rPr/>
        <w:t>fair</w:t>
      </w:r>
      <w:r>
        <w:rPr>
          <w:spacing w:val="-6"/>
        </w:rPr>
        <w:t> </w:t>
      </w:r>
      <w:r>
        <w:rPr/>
        <w:t>housing</w:t>
      </w:r>
      <w:r>
        <w:rPr>
          <w:spacing w:val="-3"/>
        </w:rPr>
        <w:t> </w:t>
      </w:r>
      <w:r>
        <w:rPr/>
        <w:t>(AFFH).</w:t>
      </w:r>
      <w:r>
        <w:rPr>
          <w:spacing w:val="-6"/>
        </w:rPr>
        <w:t> </w:t>
      </w:r>
      <w:r>
        <w:rPr/>
        <w:t>Courts</w:t>
      </w:r>
      <w:r>
        <w:rPr>
          <w:spacing w:val="-6"/>
        </w:rPr>
        <w:t> </w:t>
      </w:r>
      <w:r>
        <w:rPr/>
        <w:t>have</w:t>
      </w:r>
      <w:r>
        <w:rPr>
          <w:spacing w:val="-5"/>
        </w:rPr>
        <w:t> </w:t>
      </w:r>
      <w:r>
        <w:rPr/>
        <w:t>interpreted</w:t>
      </w:r>
      <w:r>
        <w:rPr>
          <w:spacing w:val="-9"/>
        </w:rPr>
        <w:t> </w:t>
      </w:r>
      <w:r>
        <w:rPr/>
        <w:t>the</w:t>
      </w:r>
      <w:r>
        <w:rPr>
          <w:spacing w:val="-8"/>
        </w:rPr>
        <w:t> </w:t>
      </w:r>
      <w:r>
        <w:rPr/>
        <w:t>AFFH</w:t>
      </w:r>
      <w:r>
        <w:rPr>
          <w:spacing w:val="-16"/>
        </w:rPr>
        <w:t> </w:t>
      </w:r>
      <w:r>
        <w:rPr/>
        <w:t>mandate</w:t>
      </w:r>
      <w:r>
        <w:rPr>
          <w:spacing w:val="-4"/>
        </w:rPr>
        <w:t> </w:t>
      </w:r>
      <w:r>
        <w:rPr/>
        <w:t>to</w:t>
      </w:r>
      <w:r>
        <w:rPr>
          <w:spacing w:val="-5"/>
        </w:rPr>
        <w:t> </w:t>
      </w:r>
      <w:r>
        <w:rPr/>
        <w:t>require</w:t>
      </w:r>
      <w:r>
        <w:rPr>
          <w:spacing w:val="-5"/>
        </w:rPr>
        <w:t> </w:t>
      </w:r>
      <w:r>
        <w:rPr/>
        <w:t>HUD</w:t>
      </w:r>
      <w:r>
        <w:rPr>
          <w:spacing w:val="-9"/>
        </w:rPr>
        <w:t> </w:t>
      </w:r>
      <w:r>
        <w:rPr/>
        <w:t>and</w:t>
      </w:r>
      <w:r>
        <w:rPr>
          <w:spacing w:val="-8"/>
        </w:rPr>
        <w:t> </w:t>
      </w:r>
      <w:r>
        <w:rPr/>
        <w:t>its grantees to play an active role in ending housing discrimination and segregation. The AFH marketing regulations advance the AFFH mandate by requiring operators of covered HUD- subsidized</w:t>
      </w:r>
      <w:r>
        <w:rPr>
          <w:spacing w:val="-2"/>
        </w:rPr>
        <w:t> </w:t>
      </w:r>
      <w:r>
        <w:rPr/>
        <w:t>housing</w:t>
      </w:r>
      <w:r>
        <w:rPr>
          <w:spacing w:val="-3"/>
        </w:rPr>
        <w:t> </w:t>
      </w:r>
      <w:r>
        <w:rPr/>
        <w:t>to</w:t>
      </w:r>
      <w:r>
        <w:rPr>
          <w:spacing w:val="-4"/>
        </w:rPr>
        <w:t> </w:t>
      </w:r>
      <w:r>
        <w:rPr/>
        <w:t>conduct</w:t>
      </w:r>
      <w:r>
        <w:rPr>
          <w:spacing w:val="-2"/>
        </w:rPr>
        <w:t> </w:t>
      </w:r>
      <w:r>
        <w:rPr/>
        <w:t>proactive</w:t>
      </w:r>
      <w:r>
        <w:rPr>
          <w:spacing w:val="-2"/>
        </w:rPr>
        <w:t> </w:t>
      </w:r>
      <w:r>
        <w:rPr/>
        <w:t>outreach</w:t>
      </w:r>
      <w:r>
        <w:rPr>
          <w:spacing w:val="-4"/>
        </w:rPr>
        <w:t> </w:t>
      </w:r>
      <w:r>
        <w:rPr/>
        <w:t>to</w:t>
      </w:r>
      <w:r>
        <w:rPr>
          <w:spacing w:val="-1"/>
        </w:rPr>
        <w:t> </w:t>
      </w:r>
      <w:r>
        <w:rPr/>
        <w:t>communities that</w:t>
      </w:r>
      <w:r>
        <w:rPr>
          <w:spacing w:val="-4"/>
        </w:rPr>
        <w:t> </w:t>
      </w:r>
      <w:r>
        <w:rPr/>
        <w:t>are</w:t>
      </w:r>
      <w:r>
        <w:rPr>
          <w:spacing w:val="-2"/>
        </w:rPr>
        <w:t> </w:t>
      </w:r>
      <w:r>
        <w:rPr/>
        <w:t>least</w:t>
      </w:r>
      <w:r>
        <w:rPr>
          <w:spacing w:val="-2"/>
        </w:rPr>
        <w:t> </w:t>
      </w:r>
      <w:r>
        <w:rPr/>
        <w:t>likely</w:t>
      </w:r>
      <w:r>
        <w:rPr>
          <w:spacing w:val="-5"/>
        </w:rPr>
        <w:t> </w:t>
      </w:r>
      <w:r>
        <w:rPr/>
        <w:t>to</w:t>
      </w:r>
      <w:r>
        <w:rPr>
          <w:spacing w:val="-2"/>
        </w:rPr>
        <w:t> </w:t>
      </w:r>
      <w:r>
        <w:rPr/>
        <w:t>apply, which often include people with disabilities.</w:t>
      </w:r>
    </w:p>
    <w:p>
      <w:pPr>
        <w:pStyle w:val="BodyText"/>
        <w:spacing w:before="3"/>
        <w:ind w:left="0"/>
      </w:pPr>
    </w:p>
    <w:p>
      <w:pPr>
        <w:pStyle w:val="BodyText"/>
        <w:spacing w:line="237" w:lineRule="auto"/>
      </w:pPr>
      <w:r>
        <w:rPr/>
        <w:t>Studies</w:t>
      </w:r>
      <w:r>
        <w:rPr>
          <w:spacing w:val="-4"/>
        </w:rPr>
        <w:t> </w:t>
      </w:r>
      <w:r>
        <w:rPr/>
        <w:t>show</w:t>
      </w:r>
      <w:r>
        <w:rPr>
          <w:spacing w:val="-5"/>
        </w:rPr>
        <w:t> </w:t>
      </w:r>
      <w:r>
        <w:rPr/>
        <w:t>that</w:t>
      </w:r>
      <w:r>
        <w:rPr>
          <w:spacing w:val="-2"/>
        </w:rPr>
        <w:t> </w:t>
      </w:r>
      <w:r>
        <w:rPr/>
        <w:t>18</w:t>
      </w:r>
      <w:r>
        <w:rPr>
          <w:spacing w:val="-4"/>
        </w:rPr>
        <w:t> </w:t>
      </w:r>
      <w:r>
        <w:rPr/>
        <w:t>million</w:t>
      </w:r>
      <w:r>
        <w:rPr>
          <w:spacing w:val="-2"/>
        </w:rPr>
        <w:t> </w:t>
      </w:r>
      <w:r>
        <w:rPr/>
        <w:t>disabled</w:t>
      </w:r>
      <w:r>
        <w:rPr>
          <w:spacing w:val="-3"/>
        </w:rPr>
        <w:t> </w:t>
      </w:r>
      <w:r>
        <w:rPr/>
        <w:t>people</w:t>
      </w:r>
      <w:r>
        <w:rPr>
          <w:spacing w:val="-4"/>
        </w:rPr>
        <w:t> </w:t>
      </w:r>
      <w:r>
        <w:rPr/>
        <w:t>living</w:t>
      </w:r>
      <w:r>
        <w:rPr>
          <w:spacing w:val="-4"/>
        </w:rPr>
        <w:t> </w:t>
      </w:r>
      <w:r>
        <w:rPr/>
        <w:t>in</w:t>
      </w:r>
      <w:r>
        <w:rPr>
          <w:spacing w:val="-2"/>
        </w:rPr>
        <w:t> </w:t>
      </w:r>
      <w:r>
        <w:rPr/>
        <w:t>the</w:t>
      </w:r>
      <w:r>
        <w:rPr>
          <w:spacing w:val="-2"/>
        </w:rPr>
        <w:t> </w:t>
      </w:r>
      <w:r>
        <w:rPr/>
        <w:t>United</w:t>
      </w:r>
      <w:r>
        <w:rPr>
          <w:spacing w:val="-4"/>
        </w:rPr>
        <w:t> </w:t>
      </w:r>
      <w:r>
        <w:rPr/>
        <w:t>States</w:t>
      </w:r>
      <w:r>
        <w:rPr>
          <w:spacing w:val="-2"/>
        </w:rPr>
        <w:t> </w:t>
      </w:r>
      <w:r>
        <w:rPr/>
        <w:t>are</w:t>
      </w:r>
      <w:r>
        <w:rPr>
          <w:spacing w:val="-4"/>
        </w:rPr>
        <w:t> </w:t>
      </w:r>
      <w:r>
        <w:rPr/>
        <w:t>eligible</w:t>
      </w:r>
      <w:r>
        <w:rPr>
          <w:spacing w:val="-4"/>
        </w:rPr>
        <w:t> </w:t>
      </w:r>
      <w:r>
        <w:rPr/>
        <w:t>for</w:t>
      </w:r>
      <w:r>
        <w:rPr>
          <w:spacing w:val="-5"/>
        </w:rPr>
        <w:t> </w:t>
      </w:r>
      <w:r>
        <w:rPr/>
        <w:t>federal housing assistance but are not receiving it.</w:t>
      </w:r>
      <w:r>
        <w:rPr>
          <w:position w:val="8"/>
          <w:sz w:val="16"/>
        </w:rPr>
        <w:t>1</w:t>
      </w:r>
      <w:r>
        <w:rPr>
          <w:spacing w:val="32"/>
          <w:position w:val="8"/>
          <w:sz w:val="16"/>
        </w:rPr>
        <w:t> </w:t>
      </w:r>
      <w:r>
        <w:rPr/>
        <w:t>People with disabilities often have few financial</w:t>
      </w:r>
    </w:p>
    <w:p>
      <w:pPr>
        <w:pStyle w:val="BodyText"/>
        <w:spacing w:before="4"/>
        <w:ind w:left="0"/>
        <w:rPr>
          <w:sz w:val="17"/>
        </w:rPr>
      </w:pPr>
      <w:r>
        <w:rPr/>
        <mc:AlternateContent>
          <mc:Choice Requires="wps">
            <w:drawing>
              <wp:anchor distT="0" distB="0" distL="0" distR="0" allowOverlap="1" layoutInCell="1" locked="0" behindDoc="1" simplePos="0" relativeHeight="487587840">
                <wp:simplePos x="0" y="0"/>
                <wp:positionH relativeFrom="page">
                  <wp:posOffset>621791</wp:posOffset>
                </wp:positionH>
                <wp:positionV relativeFrom="paragraph">
                  <wp:posOffset>142237</wp:posOffset>
                </wp:positionV>
                <wp:extent cx="1829435" cy="762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8.959999pt;margin-top:11.199803pt;width:144.020pt;height:.60004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before="91"/>
        <w:ind w:left="119" w:right="166" w:firstLine="0"/>
        <w:jc w:val="left"/>
        <w:rPr>
          <w:sz w:val="20"/>
        </w:rPr>
      </w:pPr>
      <w:r>
        <w:rPr>
          <w:position w:val="6"/>
          <w:sz w:val="13"/>
        </w:rPr>
        <w:t>1</w:t>
      </w:r>
      <w:r>
        <w:rPr>
          <w:spacing w:val="24"/>
          <w:position w:val="6"/>
          <w:sz w:val="13"/>
        </w:rPr>
        <w:t> </w:t>
      </w:r>
      <w:r>
        <w:rPr>
          <w:sz w:val="20"/>
        </w:rPr>
        <w:t>Urban Institute and The Kelsey, “People with Disabilities Living in the US Face Urgent Barriers to Housing” (October 2022), available at </w:t>
      </w:r>
      <w:hyperlink r:id="rId7">
        <w:r>
          <w:rPr>
            <w:color w:val="0000FF"/>
            <w:sz w:val="20"/>
            <w:u w:val="single" w:color="0000FF"/>
          </w:rPr>
          <w:t>https://www.urban.org/sites/default/files/2022-</w:t>
        </w:r>
      </w:hyperlink>
      <w:r>
        <w:rPr>
          <w:color w:val="0000FF"/>
          <w:sz w:val="20"/>
          <w:u w:val="none"/>
        </w:rPr>
        <w:t> </w:t>
      </w:r>
      <w:hyperlink r:id="rId7">
        <w:r>
          <w:rPr>
            <w:color w:val="0000FF"/>
            <w:spacing w:val="-2"/>
            <w:sz w:val="20"/>
            <w:u w:val="single" w:color="0000FF"/>
          </w:rPr>
          <w:t>10/People%20with%20Disabilities%20Living%20in%20the%20US%20Face%20Urgent%20Barriers%20to%20Housi</w:t>
        </w:r>
      </w:hyperlink>
      <w:r>
        <w:rPr>
          <w:color w:val="0000FF"/>
          <w:spacing w:val="-2"/>
          <w:sz w:val="20"/>
          <w:u w:val="none"/>
        </w:rPr>
        <w:t> </w:t>
      </w:r>
      <w:hyperlink r:id="rId7">
        <w:r>
          <w:rPr>
            <w:color w:val="0000FF"/>
            <w:spacing w:val="-2"/>
            <w:sz w:val="20"/>
            <w:u w:val="single" w:color="0000FF"/>
          </w:rPr>
          <w:t>ng_0.pdf</w:t>
        </w:r>
        <w:r>
          <w:rPr>
            <w:spacing w:val="-2"/>
            <w:sz w:val="20"/>
            <w:u w:val="none"/>
          </w:rPr>
          <w:t>.</w:t>
        </w:r>
      </w:hyperlink>
    </w:p>
    <w:p>
      <w:pPr>
        <w:spacing w:after="0"/>
        <w:jc w:val="left"/>
        <w:rPr>
          <w:sz w:val="20"/>
        </w:rPr>
        <w:sectPr>
          <w:footerReference w:type="default" r:id="rId5"/>
          <w:type w:val="continuous"/>
          <w:pgSz w:w="12240" w:h="15840"/>
          <w:pgMar w:header="0" w:footer="998" w:top="1360" w:bottom="1180" w:left="860" w:right="880"/>
          <w:pgNumType w:start="1"/>
        </w:sectPr>
      </w:pPr>
    </w:p>
    <w:p>
      <w:pPr>
        <w:pStyle w:val="BodyText"/>
        <w:spacing w:before="76"/>
        <w:ind w:right="307"/>
      </w:pPr>
      <w:r>
        <w:rPr/>
        <w:t>resources and remain among the country’s lowest-income households.</w:t>
      </w:r>
      <w:r>
        <w:rPr>
          <w:position w:val="8"/>
          <w:sz w:val="16"/>
        </w:rPr>
        <w:t>2</w:t>
      </w:r>
      <w:r>
        <w:rPr>
          <w:spacing w:val="36"/>
          <w:position w:val="8"/>
          <w:sz w:val="16"/>
        </w:rPr>
        <w:t> </w:t>
      </w:r>
      <w:r>
        <w:rPr/>
        <w:t>People with disabilities face multiple barriers to accessing HUD-subsidized housing and benefit from proactive outreach by housing providers. Some of the most common barriers include the lack of HUD-subsidized and accessible housing; the prevalence of disability-based housing discrimination;</w:t>
      </w:r>
      <w:r>
        <w:rPr>
          <w:spacing w:val="-3"/>
        </w:rPr>
        <w:t> </w:t>
      </w:r>
      <w:r>
        <w:rPr/>
        <w:t>and</w:t>
      </w:r>
      <w:r>
        <w:rPr>
          <w:spacing w:val="-5"/>
        </w:rPr>
        <w:t> </w:t>
      </w:r>
      <w:r>
        <w:rPr/>
        <w:t>the</w:t>
      </w:r>
      <w:r>
        <w:rPr>
          <w:spacing w:val="-5"/>
        </w:rPr>
        <w:t> </w:t>
      </w:r>
      <w:r>
        <w:rPr/>
        <w:t>lack</w:t>
      </w:r>
      <w:r>
        <w:rPr>
          <w:spacing w:val="-3"/>
        </w:rPr>
        <w:t> </w:t>
      </w:r>
      <w:r>
        <w:rPr/>
        <w:t>of</w:t>
      </w:r>
      <w:r>
        <w:rPr>
          <w:spacing w:val="-3"/>
        </w:rPr>
        <w:t> </w:t>
      </w:r>
      <w:r>
        <w:rPr/>
        <w:t>housing</w:t>
      </w:r>
      <w:r>
        <w:rPr>
          <w:spacing w:val="-4"/>
        </w:rPr>
        <w:t> </w:t>
      </w:r>
      <w:r>
        <w:rPr/>
        <w:t>navigation</w:t>
      </w:r>
      <w:r>
        <w:rPr>
          <w:spacing w:val="-3"/>
        </w:rPr>
        <w:t> </w:t>
      </w:r>
      <w:r>
        <w:rPr/>
        <w:t>services</w:t>
      </w:r>
      <w:r>
        <w:rPr>
          <w:spacing w:val="-3"/>
        </w:rPr>
        <w:t> </w:t>
      </w:r>
      <w:r>
        <w:rPr/>
        <w:t>that</w:t>
      </w:r>
      <w:r>
        <w:rPr>
          <w:spacing w:val="-3"/>
        </w:rPr>
        <w:t> </w:t>
      </w:r>
      <w:r>
        <w:rPr/>
        <w:t>can support</w:t>
      </w:r>
      <w:r>
        <w:rPr>
          <w:spacing w:val="-3"/>
        </w:rPr>
        <w:t> </w:t>
      </w:r>
      <w:r>
        <w:rPr/>
        <w:t>disabled</w:t>
      </w:r>
      <w:r>
        <w:rPr>
          <w:spacing w:val="-4"/>
        </w:rPr>
        <w:t> </w:t>
      </w:r>
      <w:r>
        <w:rPr/>
        <w:t>people</w:t>
      </w:r>
      <w:r>
        <w:rPr>
          <w:spacing w:val="-5"/>
        </w:rPr>
        <w:t> </w:t>
      </w:r>
      <w:r>
        <w:rPr/>
        <w:t>in searching for or applying to housing. Such hurdles result in inequitable access to HUD- subsidized housing for people with disabilities. Affirmative marketing by HUD grantees can help</w:t>
      </w:r>
      <w:r>
        <w:rPr>
          <w:spacing w:val="-1"/>
        </w:rPr>
        <w:t> </w:t>
      </w:r>
      <w:r>
        <w:rPr/>
        <w:t>reduce</w:t>
      </w:r>
      <w:r>
        <w:rPr>
          <w:spacing w:val="-3"/>
        </w:rPr>
        <w:t> </w:t>
      </w:r>
      <w:r>
        <w:rPr/>
        <w:t>this</w:t>
      </w:r>
      <w:r>
        <w:rPr>
          <w:spacing w:val="-4"/>
        </w:rPr>
        <w:t> </w:t>
      </w:r>
      <w:r>
        <w:rPr/>
        <w:t>disparity</w:t>
      </w:r>
      <w:r>
        <w:rPr>
          <w:spacing w:val="-4"/>
        </w:rPr>
        <w:t> </w:t>
      </w:r>
      <w:r>
        <w:rPr/>
        <w:t>in</w:t>
      </w:r>
      <w:r>
        <w:rPr>
          <w:spacing w:val="-1"/>
        </w:rPr>
        <w:t> </w:t>
      </w:r>
      <w:r>
        <w:rPr/>
        <w:t>access</w:t>
      </w:r>
      <w:r>
        <w:rPr>
          <w:spacing w:val="-1"/>
        </w:rPr>
        <w:t> </w:t>
      </w:r>
      <w:r>
        <w:rPr/>
        <w:t>by</w:t>
      </w:r>
      <w:r>
        <w:rPr>
          <w:spacing w:val="-4"/>
        </w:rPr>
        <w:t> </w:t>
      </w:r>
      <w:r>
        <w:rPr/>
        <w:t>ensuring</w:t>
      </w:r>
      <w:r>
        <w:rPr>
          <w:spacing w:val="-3"/>
        </w:rPr>
        <w:t> </w:t>
      </w:r>
      <w:r>
        <w:rPr/>
        <w:t>that</w:t>
      </w:r>
      <w:r>
        <w:rPr>
          <w:spacing w:val="-3"/>
        </w:rPr>
        <w:t> </w:t>
      </w:r>
      <w:r>
        <w:rPr/>
        <w:t>all</w:t>
      </w:r>
      <w:r>
        <w:rPr>
          <w:spacing w:val="-2"/>
        </w:rPr>
        <w:t> </w:t>
      </w:r>
      <w:r>
        <w:rPr/>
        <w:t>eligible</w:t>
      </w:r>
      <w:r>
        <w:rPr>
          <w:spacing w:val="-1"/>
        </w:rPr>
        <w:t> </w:t>
      </w:r>
      <w:r>
        <w:rPr/>
        <w:t>populations,</w:t>
      </w:r>
      <w:r>
        <w:rPr>
          <w:spacing w:val="-1"/>
        </w:rPr>
        <w:t> </w:t>
      </w:r>
      <w:r>
        <w:rPr/>
        <w:t>including</w:t>
      </w:r>
      <w:r>
        <w:rPr>
          <w:spacing w:val="-2"/>
        </w:rPr>
        <w:t> </w:t>
      </w:r>
      <w:r>
        <w:rPr/>
        <w:t>disabled people, learn about housing opportunities</w:t>
      </w:r>
      <w:r>
        <w:rPr>
          <w:spacing w:val="-1"/>
        </w:rPr>
        <w:t> </w:t>
      </w:r>
      <w:r>
        <w:rPr/>
        <w:t>they</w:t>
      </w:r>
      <w:r>
        <w:rPr>
          <w:spacing w:val="-2"/>
        </w:rPr>
        <w:t> </w:t>
      </w:r>
      <w:r>
        <w:rPr/>
        <w:t>may</w:t>
      </w:r>
      <w:r>
        <w:rPr>
          <w:spacing w:val="-2"/>
        </w:rPr>
        <w:t> </w:t>
      </w:r>
      <w:r>
        <w:rPr/>
        <w:t>otherwise be unaware of or be hesitant</w:t>
      </w:r>
      <w:r>
        <w:rPr>
          <w:spacing w:val="-1"/>
        </w:rPr>
        <w:t> </w:t>
      </w:r>
      <w:r>
        <w:rPr/>
        <w:t>to apply for. The AFH marketing regulations provide a straightforward framework for property owners to take simple but meaningful steps to ensure that access to federally-assisted housing is inclusive and fair.</w:t>
      </w:r>
    </w:p>
    <w:p>
      <w:pPr>
        <w:pStyle w:val="BodyText"/>
        <w:spacing w:before="1"/>
        <w:ind w:left="0"/>
      </w:pPr>
    </w:p>
    <w:p>
      <w:pPr>
        <w:pStyle w:val="BodyText"/>
        <w:ind w:right="166"/>
      </w:pPr>
      <w:r>
        <w:rPr/>
        <w:t>Further, HUD developed the AFH marketing regulations in part to fulfill the Department’s statutory obligations under Section 504, which prohibits federally-assisted programs from discriminating on the basis of disability. Among other requirements,</w:t>
      </w:r>
      <w:r>
        <w:rPr>
          <w:spacing w:val="-1"/>
        </w:rPr>
        <w:t> </w:t>
      </w:r>
      <w:r>
        <w:rPr/>
        <w:t>Section 504 mandates that federally-assisted housing providers ensure that people with disabilities have an equal opportunity to fully participate in HUD-assisted housing programs. Providers must also ensure that information about the availability of accessible units reaches eligible people with disabilities.</w:t>
      </w:r>
      <w:r>
        <w:rPr>
          <w:position w:val="8"/>
          <w:sz w:val="16"/>
        </w:rPr>
        <w:t>3</w:t>
      </w:r>
      <w:r>
        <w:rPr>
          <w:spacing w:val="19"/>
          <w:position w:val="8"/>
          <w:sz w:val="16"/>
        </w:rPr>
        <w:t> </w:t>
      </w:r>
      <w:r>
        <w:rPr/>
        <w:t>The</w:t>
      </w:r>
      <w:r>
        <w:rPr>
          <w:spacing w:val="-3"/>
        </w:rPr>
        <w:t> </w:t>
      </w:r>
      <w:r>
        <w:rPr/>
        <w:t>AFH</w:t>
      </w:r>
      <w:r>
        <w:rPr>
          <w:spacing w:val="-6"/>
        </w:rPr>
        <w:t> </w:t>
      </w:r>
      <w:r>
        <w:rPr/>
        <w:t>marketing</w:t>
      </w:r>
      <w:r>
        <w:rPr>
          <w:spacing w:val="-5"/>
        </w:rPr>
        <w:t> </w:t>
      </w:r>
      <w:r>
        <w:rPr/>
        <w:t>regulations</w:t>
      </w:r>
      <w:r>
        <w:rPr>
          <w:spacing w:val="-5"/>
        </w:rPr>
        <w:t> </w:t>
      </w:r>
      <w:r>
        <w:rPr/>
        <w:t>are</w:t>
      </w:r>
      <w:r>
        <w:rPr>
          <w:spacing w:val="-3"/>
        </w:rPr>
        <w:t> </w:t>
      </w:r>
      <w:r>
        <w:rPr/>
        <w:t>consistent</w:t>
      </w:r>
      <w:r>
        <w:rPr>
          <w:spacing w:val="-5"/>
        </w:rPr>
        <w:t> </w:t>
      </w:r>
      <w:r>
        <w:rPr/>
        <w:t>with</w:t>
      </w:r>
      <w:r>
        <w:rPr>
          <w:spacing w:val="-3"/>
        </w:rPr>
        <w:t> </w:t>
      </w:r>
      <w:r>
        <w:rPr/>
        <w:t>and reinforce</w:t>
      </w:r>
      <w:r>
        <w:rPr>
          <w:spacing w:val="-4"/>
        </w:rPr>
        <w:t> </w:t>
      </w:r>
      <w:r>
        <w:rPr/>
        <w:t>these</w:t>
      </w:r>
      <w:r>
        <w:rPr>
          <w:spacing w:val="-1"/>
        </w:rPr>
        <w:t> </w:t>
      </w:r>
      <w:r>
        <w:rPr/>
        <w:t>obligations.</w:t>
      </w:r>
    </w:p>
    <w:p>
      <w:pPr>
        <w:pStyle w:val="BodyText"/>
        <w:spacing w:before="272"/>
        <w:ind w:right="281"/>
        <w:rPr>
          <w:sz w:val="16"/>
        </w:rPr>
      </w:pPr>
      <w:r>
        <w:rPr/>
        <w:t>Affirmative outreach by HUD-assisted housing providers is also consistent with HUD’s commitment to furthering the goals of </w:t>
      </w:r>
      <w:r>
        <w:rPr>
          <w:i/>
        </w:rPr>
        <w:t>Olmstead</w:t>
      </w:r>
      <w:r>
        <w:rPr/>
        <w:t>. </w:t>
      </w:r>
      <w:r>
        <w:rPr>
          <w:i/>
        </w:rPr>
        <w:t>Olmstead </w:t>
      </w:r>
      <w:r>
        <w:rPr/>
        <w:t>efforts by state and local governments focus on helping institutionalized people with disabilities move into integrated settings in the community. In encouraging its grantees to support </w:t>
      </w:r>
      <w:r>
        <w:rPr>
          <w:i/>
        </w:rPr>
        <w:t>Olmstead </w:t>
      </w:r>
      <w:r>
        <w:rPr/>
        <w:t>implementation, HUD</w:t>
      </w:r>
      <w:r>
        <w:rPr>
          <w:spacing w:val="-2"/>
        </w:rPr>
        <w:t> </w:t>
      </w:r>
      <w:r>
        <w:rPr/>
        <w:t>has</w:t>
      </w:r>
      <w:r>
        <w:rPr>
          <w:spacing w:val="-2"/>
        </w:rPr>
        <w:t> </w:t>
      </w:r>
      <w:r>
        <w:rPr/>
        <w:t>affirmed</w:t>
      </w:r>
      <w:r>
        <w:rPr>
          <w:spacing w:val="-4"/>
        </w:rPr>
        <w:t> </w:t>
      </w:r>
      <w:r>
        <w:rPr/>
        <w:t>that</w:t>
      </w:r>
      <w:r>
        <w:rPr>
          <w:spacing w:val="-3"/>
        </w:rPr>
        <w:t> </w:t>
      </w:r>
      <w:r>
        <w:rPr/>
        <w:t>“HUD</w:t>
      </w:r>
      <w:r>
        <w:rPr>
          <w:spacing w:val="-3"/>
        </w:rPr>
        <w:t> </w:t>
      </w:r>
      <w:r>
        <w:rPr/>
        <w:t>programs</w:t>
      </w:r>
      <w:r>
        <w:rPr>
          <w:spacing w:val="-2"/>
        </w:rPr>
        <w:t> </w:t>
      </w:r>
      <w:r>
        <w:rPr/>
        <w:t>serve</w:t>
      </w:r>
      <w:r>
        <w:rPr>
          <w:spacing w:val="-2"/>
        </w:rPr>
        <w:t> </w:t>
      </w:r>
      <w:r>
        <w:rPr/>
        <w:t>as</w:t>
      </w:r>
      <w:r>
        <w:rPr>
          <w:spacing w:val="-2"/>
        </w:rPr>
        <w:t> </w:t>
      </w:r>
      <w:r>
        <w:rPr/>
        <w:t>an</w:t>
      </w:r>
      <w:r>
        <w:rPr>
          <w:spacing w:val="-4"/>
        </w:rPr>
        <w:t> </w:t>
      </w:r>
      <w:r>
        <w:rPr/>
        <w:t>important</w:t>
      </w:r>
      <w:r>
        <w:rPr>
          <w:spacing w:val="-2"/>
        </w:rPr>
        <w:t> </w:t>
      </w:r>
      <w:r>
        <w:rPr/>
        <w:t>resource</w:t>
      </w:r>
      <w:r>
        <w:rPr>
          <w:spacing w:val="-4"/>
        </w:rPr>
        <w:t> </w:t>
      </w:r>
      <w:r>
        <w:rPr/>
        <w:t>for</w:t>
      </w:r>
      <w:r>
        <w:rPr>
          <w:spacing w:val="-2"/>
        </w:rPr>
        <w:t> </w:t>
      </w:r>
      <w:r>
        <w:rPr/>
        <w:t>affordable</w:t>
      </w:r>
      <w:r>
        <w:rPr>
          <w:spacing w:val="-4"/>
        </w:rPr>
        <w:t> </w:t>
      </w:r>
      <w:r>
        <w:rPr/>
        <w:t>housing opportunities</w:t>
      </w:r>
      <w:r>
        <w:rPr>
          <w:spacing w:val="-4"/>
        </w:rPr>
        <w:t> </w:t>
      </w:r>
      <w:r>
        <w:rPr/>
        <w:t>for individuals with disabilities,</w:t>
      </w:r>
      <w:r>
        <w:rPr>
          <w:spacing w:val="-2"/>
        </w:rPr>
        <w:t> </w:t>
      </w:r>
      <w:r>
        <w:rPr/>
        <w:t>including</w:t>
      </w:r>
      <w:r>
        <w:rPr>
          <w:spacing w:val="-1"/>
        </w:rPr>
        <w:t> </w:t>
      </w:r>
      <w:r>
        <w:rPr/>
        <w:t>individuals who are transitioning</w:t>
      </w:r>
      <w:r>
        <w:rPr>
          <w:spacing w:val="-2"/>
        </w:rPr>
        <w:t> </w:t>
      </w:r>
      <w:r>
        <w:rPr/>
        <w:t>out</w:t>
      </w:r>
      <w:r>
        <w:rPr>
          <w:spacing w:val="-2"/>
        </w:rPr>
        <w:t> </w:t>
      </w:r>
      <w:r>
        <w:rPr/>
        <w:t>of, or at serious risk of entering, institutions.” HUD has specifically noted that “affirmative marketing activities that make the availability of affordable housing units…widely known throughout the market area, including to individuals transitioning from institutional care” advance </w:t>
      </w:r>
      <w:r>
        <w:rPr>
          <w:i/>
        </w:rPr>
        <w:t>Olmstead </w:t>
      </w:r>
      <w:r>
        <w:rPr/>
        <w:t>efforts.</w:t>
      </w:r>
      <w:r>
        <w:rPr>
          <w:position w:val="8"/>
          <w:sz w:val="16"/>
        </w:rPr>
        <w:t>4</w:t>
      </w:r>
    </w:p>
    <w:p>
      <w:pPr>
        <w:pStyle w:val="BodyText"/>
        <w:spacing w:before="274"/>
        <w:ind w:right="283"/>
      </w:pPr>
      <w:r>
        <w:rPr/>
        <w:t>Every day a person with a disability lives in an institution instead of the community is a lost opportunity, lost human potential, and a needless cost to public systems. It is a lost</w:t>
      </w:r>
      <w:r>
        <w:rPr/>
        <w:t> opportunity for the state and local governments that would benefit from the cost savings achieved when people with disabilities move from expensive nursing facilities, psychiatric hospitals,</w:t>
      </w:r>
      <w:r>
        <w:rPr>
          <w:spacing w:val="-3"/>
        </w:rPr>
        <w:t> </w:t>
      </w:r>
      <w:r>
        <w:rPr/>
        <w:t>and</w:t>
      </w:r>
      <w:r>
        <w:rPr>
          <w:spacing w:val="-3"/>
        </w:rPr>
        <w:t> </w:t>
      </w:r>
      <w:r>
        <w:rPr/>
        <w:t>other</w:t>
      </w:r>
      <w:r>
        <w:rPr>
          <w:spacing w:val="-3"/>
        </w:rPr>
        <w:t> </w:t>
      </w:r>
      <w:r>
        <w:rPr/>
        <w:t>institutions</w:t>
      </w:r>
      <w:r>
        <w:rPr>
          <w:spacing w:val="-6"/>
        </w:rPr>
        <w:t> </w:t>
      </w:r>
      <w:r>
        <w:rPr/>
        <w:t>into</w:t>
      </w:r>
      <w:r>
        <w:rPr>
          <w:spacing w:val="-4"/>
        </w:rPr>
        <w:t> </w:t>
      </w:r>
      <w:r>
        <w:rPr/>
        <w:t>the</w:t>
      </w:r>
      <w:r>
        <w:rPr>
          <w:spacing w:val="-3"/>
        </w:rPr>
        <w:t> </w:t>
      </w:r>
      <w:r>
        <w:rPr/>
        <w:t>community.</w:t>
      </w:r>
      <w:r>
        <w:rPr>
          <w:spacing w:val="-3"/>
        </w:rPr>
        <w:t> </w:t>
      </w:r>
      <w:r>
        <w:rPr/>
        <w:t>Most</w:t>
      </w:r>
      <w:r>
        <w:rPr>
          <w:spacing w:val="-3"/>
        </w:rPr>
        <w:t> </w:t>
      </w:r>
      <w:r>
        <w:rPr/>
        <w:t>importantly,</w:t>
      </w:r>
      <w:r>
        <w:rPr>
          <w:spacing w:val="-3"/>
        </w:rPr>
        <w:t> </w:t>
      </w:r>
      <w:r>
        <w:rPr/>
        <w:t>it</w:t>
      </w:r>
      <w:r>
        <w:rPr>
          <w:spacing w:val="-3"/>
        </w:rPr>
        <w:t> </w:t>
      </w:r>
      <w:r>
        <w:rPr/>
        <w:t>is</w:t>
      </w:r>
      <w:r>
        <w:rPr>
          <w:spacing w:val="-3"/>
        </w:rPr>
        <w:t> </w:t>
      </w:r>
      <w:r>
        <w:rPr/>
        <w:t>a</w:t>
      </w:r>
      <w:r>
        <w:rPr>
          <w:spacing w:val="-2"/>
        </w:rPr>
        <w:t> </w:t>
      </w:r>
      <w:r>
        <w:rPr/>
        <w:t>lost</w:t>
      </w:r>
      <w:r>
        <w:rPr>
          <w:spacing w:val="-3"/>
        </w:rPr>
        <w:t> </w:t>
      </w:r>
      <w:r>
        <w:rPr/>
        <w:t>opportunity</w:t>
      </w:r>
      <w:r>
        <w:rPr>
          <w:spacing w:val="-6"/>
        </w:rPr>
        <w:t> </w:t>
      </w:r>
      <w:r>
        <w:rPr/>
        <w:t>for those people with disabilities who will remain institutionalized rather than members of their community of choice. HUD must do everything it can to ensure that people with disabilities have</w:t>
      </w:r>
      <w:r>
        <w:rPr>
          <w:spacing w:val="-3"/>
        </w:rPr>
        <w:t> </w:t>
      </w:r>
      <w:r>
        <w:rPr/>
        <w:t>equal</w:t>
      </w:r>
      <w:r>
        <w:rPr>
          <w:spacing w:val="-3"/>
        </w:rPr>
        <w:t> </w:t>
      </w:r>
      <w:r>
        <w:rPr/>
        <w:t>access</w:t>
      </w:r>
      <w:r>
        <w:rPr>
          <w:spacing w:val="-3"/>
        </w:rPr>
        <w:t> </w:t>
      </w:r>
      <w:r>
        <w:rPr/>
        <w:t>to</w:t>
      </w:r>
      <w:r>
        <w:rPr>
          <w:spacing w:val="-5"/>
        </w:rPr>
        <w:t> </w:t>
      </w:r>
      <w:r>
        <w:rPr/>
        <w:t>housing</w:t>
      </w:r>
      <w:r>
        <w:rPr>
          <w:spacing w:val="-4"/>
        </w:rPr>
        <w:t> </w:t>
      </w:r>
      <w:r>
        <w:rPr/>
        <w:t>in</w:t>
      </w:r>
      <w:r>
        <w:rPr>
          <w:spacing w:val="-3"/>
        </w:rPr>
        <w:t> </w:t>
      </w:r>
      <w:r>
        <w:rPr/>
        <w:t>the</w:t>
      </w:r>
      <w:r>
        <w:rPr>
          <w:spacing w:val="-3"/>
        </w:rPr>
        <w:t> </w:t>
      </w:r>
      <w:r>
        <w:rPr/>
        <w:t>community,</w:t>
      </w:r>
      <w:r>
        <w:rPr>
          <w:spacing w:val="-3"/>
        </w:rPr>
        <w:t> </w:t>
      </w:r>
      <w:r>
        <w:rPr/>
        <w:t>including</w:t>
      </w:r>
      <w:r>
        <w:rPr>
          <w:spacing w:val="-4"/>
        </w:rPr>
        <w:t> </w:t>
      </w:r>
      <w:r>
        <w:rPr/>
        <w:t>by</w:t>
      </w:r>
      <w:r>
        <w:rPr>
          <w:spacing w:val="-6"/>
        </w:rPr>
        <w:t> </w:t>
      </w:r>
      <w:r>
        <w:rPr/>
        <w:t>preserving</w:t>
      </w:r>
      <w:r>
        <w:rPr>
          <w:spacing w:val="-5"/>
        </w:rPr>
        <w:t> </w:t>
      </w:r>
      <w:r>
        <w:rPr/>
        <w:t>the</w:t>
      </w:r>
      <w:r>
        <w:rPr>
          <w:spacing w:val="-3"/>
        </w:rPr>
        <w:t> </w:t>
      </w:r>
      <w:r>
        <w:rPr/>
        <w:t>longstanding</w:t>
      </w:r>
      <w:r>
        <w:rPr>
          <w:spacing w:val="-4"/>
        </w:rPr>
        <w:t> </w:t>
      </w:r>
      <w:r>
        <w:rPr/>
        <w:t>AFH marketing regulations.</w:t>
      </w:r>
    </w:p>
    <w:p>
      <w:pPr>
        <w:pStyle w:val="BodyText"/>
        <w:ind w:left="0"/>
        <w:rPr>
          <w:sz w:val="20"/>
        </w:rPr>
      </w:pPr>
    </w:p>
    <w:p>
      <w:pPr>
        <w:pStyle w:val="BodyText"/>
        <w:spacing w:before="142"/>
        <w:ind w:left="0"/>
        <w:rPr>
          <w:sz w:val="20"/>
        </w:rPr>
      </w:pPr>
      <w:r>
        <w:rPr/>
        <mc:AlternateContent>
          <mc:Choice Requires="wps">
            <w:drawing>
              <wp:anchor distT="0" distB="0" distL="0" distR="0" allowOverlap="1" layoutInCell="1" locked="0" behindDoc="1" simplePos="0" relativeHeight="487588352">
                <wp:simplePos x="0" y="0"/>
                <wp:positionH relativeFrom="page">
                  <wp:posOffset>621791</wp:posOffset>
                </wp:positionH>
                <wp:positionV relativeFrom="paragraph">
                  <wp:posOffset>251872</wp:posOffset>
                </wp:positionV>
                <wp:extent cx="1829435" cy="762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8.959999pt;margin-top:19.832499pt;width:144.020pt;height:.60004pt;mso-position-horizontal-relative:page;mso-position-vertical-relative:paragraph;z-index:-15728128;mso-wrap-distance-left:0;mso-wrap-distance-right:0" id="docshape3" filled="true" fillcolor="#000000" stroked="false">
                <v:fill type="solid"/>
                <w10:wrap type="topAndBottom"/>
              </v:rect>
            </w:pict>
          </mc:Fallback>
        </mc:AlternateContent>
      </w:r>
    </w:p>
    <w:p>
      <w:pPr>
        <w:spacing w:before="91"/>
        <w:ind w:left="119" w:right="0" w:firstLine="0"/>
        <w:jc w:val="left"/>
        <w:rPr>
          <w:sz w:val="20"/>
        </w:rPr>
      </w:pPr>
      <w:r>
        <w:rPr>
          <w:position w:val="6"/>
          <w:sz w:val="13"/>
        </w:rPr>
        <w:t>2</w:t>
      </w:r>
      <w:r>
        <w:rPr>
          <w:spacing w:val="16"/>
          <w:position w:val="6"/>
          <w:sz w:val="13"/>
        </w:rPr>
        <w:t> </w:t>
      </w:r>
      <w:r>
        <w:rPr>
          <w:sz w:val="20"/>
        </w:rPr>
        <w:t>See,</w:t>
      </w:r>
      <w:r>
        <w:rPr>
          <w:spacing w:val="-3"/>
          <w:sz w:val="20"/>
        </w:rPr>
        <w:t> </w:t>
      </w:r>
      <w:r>
        <w:rPr>
          <w:sz w:val="20"/>
        </w:rPr>
        <w:t>e.g.,</w:t>
      </w:r>
      <w:r>
        <w:rPr>
          <w:spacing w:val="-3"/>
          <w:sz w:val="20"/>
        </w:rPr>
        <w:t> </w:t>
      </w:r>
      <w:r>
        <w:rPr>
          <w:sz w:val="20"/>
        </w:rPr>
        <w:t>Technical</w:t>
      </w:r>
      <w:r>
        <w:rPr>
          <w:spacing w:val="-4"/>
          <w:sz w:val="20"/>
        </w:rPr>
        <w:t> </w:t>
      </w:r>
      <w:r>
        <w:rPr>
          <w:sz w:val="20"/>
        </w:rPr>
        <w:t>Assistance</w:t>
      </w:r>
      <w:r>
        <w:rPr>
          <w:spacing w:val="-3"/>
          <w:sz w:val="20"/>
        </w:rPr>
        <w:t> </w:t>
      </w:r>
      <w:r>
        <w:rPr>
          <w:sz w:val="20"/>
        </w:rPr>
        <w:t>Collaborative,</w:t>
      </w:r>
      <w:r>
        <w:rPr>
          <w:spacing w:val="-1"/>
          <w:sz w:val="20"/>
        </w:rPr>
        <w:t> </w:t>
      </w:r>
      <w:r>
        <w:rPr>
          <w:sz w:val="20"/>
        </w:rPr>
        <w:t>Inc.</w:t>
      </w:r>
      <w:r>
        <w:rPr>
          <w:spacing w:val="-3"/>
          <w:sz w:val="20"/>
        </w:rPr>
        <w:t> </w:t>
      </w:r>
      <w:r>
        <w:rPr>
          <w:sz w:val="20"/>
        </w:rPr>
        <w:t>“Priced</w:t>
      </w:r>
      <w:r>
        <w:rPr>
          <w:spacing w:val="-4"/>
          <w:sz w:val="20"/>
        </w:rPr>
        <w:t> </w:t>
      </w:r>
      <w:r>
        <w:rPr>
          <w:sz w:val="20"/>
        </w:rPr>
        <w:t>Out:</w:t>
      </w:r>
      <w:r>
        <w:rPr>
          <w:spacing w:val="-3"/>
          <w:sz w:val="20"/>
        </w:rPr>
        <w:t> </w:t>
      </w:r>
      <w:r>
        <w:rPr>
          <w:sz w:val="20"/>
        </w:rPr>
        <w:t>The</w:t>
      </w:r>
      <w:r>
        <w:rPr>
          <w:spacing w:val="-4"/>
          <w:sz w:val="20"/>
        </w:rPr>
        <w:t> </w:t>
      </w:r>
      <w:r>
        <w:rPr>
          <w:sz w:val="20"/>
        </w:rPr>
        <w:t>Housing</w:t>
      </w:r>
      <w:r>
        <w:rPr>
          <w:spacing w:val="-2"/>
          <w:sz w:val="20"/>
        </w:rPr>
        <w:t> </w:t>
      </w:r>
      <w:r>
        <w:rPr>
          <w:sz w:val="20"/>
        </w:rPr>
        <w:t>Crisis</w:t>
      </w:r>
      <w:r>
        <w:rPr>
          <w:spacing w:val="-2"/>
          <w:sz w:val="20"/>
        </w:rPr>
        <w:t> </w:t>
      </w:r>
      <w:r>
        <w:rPr>
          <w:sz w:val="20"/>
        </w:rPr>
        <w:t>for</w:t>
      </w:r>
      <w:r>
        <w:rPr>
          <w:spacing w:val="-3"/>
          <w:sz w:val="20"/>
        </w:rPr>
        <w:t> </w:t>
      </w:r>
      <w:r>
        <w:rPr>
          <w:sz w:val="20"/>
        </w:rPr>
        <w:t>People</w:t>
      </w:r>
      <w:r>
        <w:rPr>
          <w:spacing w:val="-1"/>
          <w:sz w:val="20"/>
        </w:rPr>
        <w:t> </w:t>
      </w:r>
      <w:r>
        <w:rPr>
          <w:sz w:val="20"/>
        </w:rPr>
        <w:t>with</w:t>
      </w:r>
      <w:r>
        <w:rPr>
          <w:spacing w:val="-4"/>
          <w:sz w:val="20"/>
        </w:rPr>
        <w:t> </w:t>
      </w:r>
      <w:r>
        <w:rPr>
          <w:sz w:val="20"/>
        </w:rPr>
        <w:t>Disabilities” (2025) at </w:t>
      </w:r>
      <w:hyperlink r:id="rId8">
        <w:r>
          <w:rPr>
            <w:color w:val="0000FF"/>
            <w:sz w:val="20"/>
            <w:u w:val="single" w:color="0000FF"/>
          </w:rPr>
          <w:t>https://www.tacinc.org/resources/priced-out/.</w:t>
        </w:r>
      </w:hyperlink>
    </w:p>
    <w:p>
      <w:pPr>
        <w:spacing w:before="0"/>
        <w:ind w:left="119" w:right="0" w:firstLine="0"/>
        <w:jc w:val="left"/>
        <w:rPr>
          <w:sz w:val="20"/>
        </w:rPr>
      </w:pPr>
      <w:r>
        <w:rPr>
          <w:position w:val="6"/>
          <w:sz w:val="13"/>
        </w:rPr>
        <w:t>3</w:t>
      </w:r>
      <w:r>
        <w:rPr>
          <w:spacing w:val="16"/>
          <w:position w:val="6"/>
          <w:sz w:val="13"/>
        </w:rPr>
        <w:t> </w:t>
      </w:r>
      <w:r>
        <w:rPr>
          <w:sz w:val="20"/>
        </w:rPr>
        <w:t>24</w:t>
      </w:r>
      <w:r>
        <w:rPr>
          <w:spacing w:val="-3"/>
          <w:sz w:val="20"/>
        </w:rPr>
        <w:t> </w:t>
      </w:r>
      <w:r>
        <w:rPr>
          <w:sz w:val="20"/>
        </w:rPr>
        <w:t>C.F.R.</w:t>
      </w:r>
      <w:r>
        <w:rPr>
          <w:spacing w:val="-3"/>
          <w:sz w:val="20"/>
        </w:rPr>
        <w:t> </w:t>
      </w:r>
      <w:r>
        <w:rPr>
          <w:sz w:val="20"/>
        </w:rPr>
        <w:t>§</w:t>
      </w:r>
      <w:r>
        <w:rPr>
          <w:spacing w:val="-1"/>
          <w:sz w:val="20"/>
        </w:rPr>
        <w:t> </w:t>
      </w:r>
      <w:r>
        <w:rPr>
          <w:spacing w:val="-2"/>
          <w:sz w:val="20"/>
        </w:rPr>
        <w:t>8.27.</w:t>
      </w:r>
    </w:p>
    <w:p>
      <w:pPr>
        <w:spacing w:before="1"/>
        <w:ind w:left="119" w:right="0" w:firstLine="0"/>
        <w:jc w:val="left"/>
        <w:rPr>
          <w:sz w:val="20"/>
        </w:rPr>
      </w:pPr>
      <w:r>
        <w:rPr>
          <w:position w:val="6"/>
          <w:sz w:val="13"/>
        </w:rPr>
        <w:t>4</w:t>
      </w:r>
      <w:r>
        <w:rPr>
          <w:spacing w:val="15"/>
          <w:position w:val="6"/>
          <w:sz w:val="13"/>
        </w:rPr>
        <w:t> </w:t>
      </w:r>
      <w:r>
        <w:rPr>
          <w:sz w:val="20"/>
        </w:rPr>
        <w:t>HUD,</w:t>
      </w:r>
      <w:r>
        <w:rPr>
          <w:spacing w:val="-4"/>
          <w:sz w:val="20"/>
        </w:rPr>
        <w:t> </w:t>
      </w:r>
      <w:r>
        <w:rPr>
          <w:sz w:val="20"/>
        </w:rPr>
        <w:t>“Statement</w:t>
      </w:r>
      <w:r>
        <w:rPr>
          <w:spacing w:val="-4"/>
          <w:sz w:val="20"/>
        </w:rPr>
        <w:t> </w:t>
      </w:r>
      <w:r>
        <w:rPr>
          <w:sz w:val="20"/>
        </w:rPr>
        <w:t>of</w:t>
      </w:r>
      <w:r>
        <w:rPr>
          <w:spacing w:val="-2"/>
          <w:sz w:val="20"/>
        </w:rPr>
        <w:t> </w:t>
      </w:r>
      <w:r>
        <w:rPr>
          <w:sz w:val="20"/>
        </w:rPr>
        <w:t>the</w:t>
      </w:r>
      <w:r>
        <w:rPr>
          <w:spacing w:val="-2"/>
          <w:sz w:val="20"/>
        </w:rPr>
        <w:t> </w:t>
      </w:r>
      <w:r>
        <w:rPr>
          <w:sz w:val="20"/>
        </w:rPr>
        <w:t>Department</w:t>
      </w:r>
      <w:r>
        <w:rPr>
          <w:spacing w:val="-4"/>
          <w:sz w:val="20"/>
        </w:rPr>
        <w:t> </w:t>
      </w:r>
      <w:r>
        <w:rPr>
          <w:sz w:val="20"/>
        </w:rPr>
        <w:t>of</w:t>
      </w:r>
      <w:r>
        <w:rPr>
          <w:spacing w:val="-2"/>
          <w:sz w:val="20"/>
        </w:rPr>
        <w:t> </w:t>
      </w:r>
      <w:r>
        <w:rPr>
          <w:sz w:val="20"/>
        </w:rPr>
        <w:t>Housing</w:t>
      </w:r>
      <w:r>
        <w:rPr>
          <w:spacing w:val="-2"/>
          <w:sz w:val="20"/>
        </w:rPr>
        <w:t> </w:t>
      </w:r>
      <w:r>
        <w:rPr>
          <w:sz w:val="20"/>
        </w:rPr>
        <w:t>and Urban</w:t>
      </w:r>
      <w:r>
        <w:rPr>
          <w:spacing w:val="-4"/>
          <w:sz w:val="20"/>
        </w:rPr>
        <w:t> </w:t>
      </w:r>
      <w:r>
        <w:rPr>
          <w:sz w:val="20"/>
        </w:rPr>
        <w:t>Development</w:t>
      </w:r>
      <w:r>
        <w:rPr>
          <w:spacing w:val="-4"/>
          <w:sz w:val="20"/>
        </w:rPr>
        <w:t> </w:t>
      </w:r>
      <w:r>
        <w:rPr>
          <w:sz w:val="20"/>
        </w:rPr>
        <w:t>on</w:t>
      </w:r>
      <w:r>
        <w:rPr>
          <w:spacing w:val="-4"/>
          <w:sz w:val="20"/>
        </w:rPr>
        <w:t> </w:t>
      </w:r>
      <w:r>
        <w:rPr>
          <w:sz w:val="20"/>
        </w:rPr>
        <w:t>the</w:t>
      </w:r>
      <w:r>
        <w:rPr>
          <w:spacing w:val="-5"/>
          <w:sz w:val="20"/>
        </w:rPr>
        <w:t> </w:t>
      </w:r>
      <w:r>
        <w:rPr>
          <w:sz w:val="20"/>
        </w:rPr>
        <w:t>Role</w:t>
      </w:r>
      <w:r>
        <w:rPr>
          <w:spacing w:val="-2"/>
          <w:sz w:val="20"/>
        </w:rPr>
        <w:t> </w:t>
      </w:r>
      <w:r>
        <w:rPr>
          <w:sz w:val="20"/>
        </w:rPr>
        <w:t>of</w:t>
      </w:r>
      <w:r>
        <w:rPr>
          <w:spacing w:val="-2"/>
          <w:sz w:val="20"/>
        </w:rPr>
        <w:t> </w:t>
      </w:r>
      <w:r>
        <w:rPr>
          <w:sz w:val="20"/>
        </w:rPr>
        <w:t>Housing</w:t>
      </w:r>
      <w:r>
        <w:rPr>
          <w:spacing w:val="-4"/>
          <w:sz w:val="20"/>
        </w:rPr>
        <w:t> </w:t>
      </w:r>
      <w:r>
        <w:rPr>
          <w:sz w:val="20"/>
        </w:rPr>
        <w:t>in</w:t>
      </w:r>
      <w:r>
        <w:rPr>
          <w:spacing w:val="-2"/>
          <w:sz w:val="20"/>
        </w:rPr>
        <w:t> </w:t>
      </w:r>
      <w:r>
        <w:rPr>
          <w:sz w:val="20"/>
        </w:rPr>
        <w:t>Accomplishing the Goals of </w:t>
      </w:r>
      <w:r>
        <w:rPr>
          <w:i/>
          <w:sz w:val="20"/>
        </w:rPr>
        <w:t>Olmstead</w:t>
      </w:r>
      <w:r>
        <w:rPr>
          <w:sz w:val="20"/>
        </w:rPr>
        <w:t>” (2013), available at </w:t>
      </w:r>
      <w:hyperlink r:id="rId9">
        <w:r>
          <w:rPr>
            <w:color w:val="0000FF"/>
            <w:sz w:val="20"/>
            <w:u w:val="single" w:color="0000FF"/>
          </w:rPr>
          <w:t>https://www.hud.gov/sites/documents/olmsteadguidnc060413.pdf</w:t>
        </w:r>
      </w:hyperlink>
      <w:r>
        <w:rPr>
          <w:sz w:val="20"/>
          <w:u w:val="none"/>
        </w:rPr>
        <w:t>.</w:t>
      </w:r>
    </w:p>
    <w:p>
      <w:pPr>
        <w:spacing w:after="0"/>
        <w:jc w:val="left"/>
        <w:rPr>
          <w:sz w:val="20"/>
        </w:rPr>
        <w:sectPr>
          <w:pgSz w:w="12240" w:h="15840"/>
          <w:pgMar w:header="0" w:footer="998" w:top="1280" w:bottom="1180" w:left="860" w:right="880"/>
        </w:sectPr>
      </w:pPr>
    </w:p>
    <w:p>
      <w:pPr>
        <w:pStyle w:val="BodyText"/>
        <w:spacing w:before="79"/>
        <w:ind w:right="188"/>
      </w:pPr>
      <w:r>
        <w:rPr/>
        <w:t>Rescinding the AFH marketing regulations would signal an unacceptable retreat from HUD’s obligations and a dangerous undermining of civil rights that protect marginalized communities. People with disabilities are part of these communities and have intersectional identities. Any weakening</w:t>
      </w:r>
      <w:r>
        <w:rPr>
          <w:spacing w:val="-3"/>
        </w:rPr>
        <w:t> </w:t>
      </w:r>
      <w:r>
        <w:rPr/>
        <w:t>of</w:t>
      </w:r>
      <w:r>
        <w:rPr>
          <w:spacing w:val="-2"/>
        </w:rPr>
        <w:t> </w:t>
      </w:r>
      <w:r>
        <w:rPr/>
        <w:t>fair</w:t>
      </w:r>
      <w:r>
        <w:rPr>
          <w:spacing w:val="-6"/>
        </w:rPr>
        <w:t> </w:t>
      </w:r>
      <w:r>
        <w:rPr/>
        <w:t>housing</w:t>
      </w:r>
      <w:r>
        <w:rPr>
          <w:spacing w:val="-4"/>
        </w:rPr>
        <w:t> </w:t>
      </w:r>
      <w:r>
        <w:rPr/>
        <w:t>requirements</w:t>
      </w:r>
      <w:r>
        <w:rPr>
          <w:spacing w:val="-4"/>
        </w:rPr>
        <w:t> </w:t>
      </w:r>
      <w:r>
        <w:rPr/>
        <w:t>that</w:t>
      </w:r>
      <w:r>
        <w:rPr>
          <w:spacing w:val="-2"/>
        </w:rPr>
        <w:t> </w:t>
      </w:r>
      <w:r>
        <w:rPr/>
        <w:t>harms</w:t>
      </w:r>
      <w:r>
        <w:rPr>
          <w:spacing w:val="-2"/>
        </w:rPr>
        <w:t> </w:t>
      </w:r>
      <w:r>
        <w:rPr/>
        <w:t>people</w:t>
      </w:r>
      <w:r>
        <w:rPr>
          <w:spacing w:val="-2"/>
        </w:rPr>
        <w:t> </w:t>
      </w:r>
      <w:r>
        <w:rPr/>
        <w:t>who</w:t>
      </w:r>
      <w:r>
        <w:rPr>
          <w:spacing w:val="-2"/>
        </w:rPr>
        <w:t> </w:t>
      </w:r>
      <w:r>
        <w:rPr/>
        <w:t>are</w:t>
      </w:r>
      <w:r>
        <w:rPr>
          <w:spacing w:val="-4"/>
        </w:rPr>
        <w:t> </w:t>
      </w:r>
      <w:r>
        <w:rPr/>
        <w:t>part</w:t>
      </w:r>
      <w:r>
        <w:rPr>
          <w:spacing w:val="-2"/>
        </w:rPr>
        <w:t> </w:t>
      </w:r>
      <w:r>
        <w:rPr/>
        <w:t>of</w:t>
      </w:r>
      <w:r>
        <w:rPr>
          <w:spacing w:val="-2"/>
        </w:rPr>
        <w:t> </w:t>
      </w:r>
      <w:r>
        <w:rPr/>
        <w:t>the</w:t>
      </w:r>
      <w:r>
        <w:rPr>
          <w:spacing w:val="-4"/>
        </w:rPr>
        <w:t> </w:t>
      </w:r>
      <w:r>
        <w:rPr/>
        <w:t>FHA’s</w:t>
      </w:r>
      <w:r>
        <w:rPr>
          <w:spacing w:val="-2"/>
        </w:rPr>
        <w:t> </w:t>
      </w:r>
      <w:r>
        <w:rPr/>
        <w:t>protected classes or underserved groups harms the rights of all. We are in solidarity with other people and groups who face discrimination and rely on fair housing to have equal access to housing </w:t>
      </w:r>
      <w:r>
        <w:rPr>
          <w:spacing w:val="-2"/>
        </w:rPr>
        <w:t>opportunities.</w:t>
      </w:r>
    </w:p>
    <w:p>
      <w:pPr>
        <w:pStyle w:val="BodyText"/>
        <w:spacing w:before="2"/>
        <w:ind w:left="0"/>
      </w:pPr>
    </w:p>
    <w:p>
      <w:pPr>
        <w:pStyle w:val="BodyText"/>
        <w:spacing w:before="1"/>
        <w:ind w:right="281"/>
      </w:pPr>
      <w:r>
        <w:rPr/>
        <w:t>We</w:t>
      </w:r>
      <w:r>
        <w:rPr>
          <w:spacing w:val="-5"/>
        </w:rPr>
        <w:t> </w:t>
      </w:r>
      <w:r>
        <w:rPr/>
        <w:t>strongly</w:t>
      </w:r>
      <w:r>
        <w:rPr>
          <w:spacing w:val="-5"/>
        </w:rPr>
        <w:t> </w:t>
      </w:r>
      <w:r>
        <w:rPr/>
        <w:t>oppose</w:t>
      </w:r>
      <w:r>
        <w:rPr>
          <w:spacing w:val="-2"/>
        </w:rPr>
        <w:t> </w:t>
      </w:r>
      <w:r>
        <w:rPr/>
        <w:t>HUD’s</w:t>
      </w:r>
      <w:r>
        <w:rPr>
          <w:spacing w:val="-2"/>
        </w:rPr>
        <w:t> </w:t>
      </w:r>
      <w:r>
        <w:rPr/>
        <w:t>efforts</w:t>
      </w:r>
      <w:r>
        <w:rPr>
          <w:spacing w:val="-2"/>
        </w:rPr>
        <w:t> </w:t>
      </w:r>
      <w:r>
        <w:rPr/>
        <w:t>to</w:t>
      </w:r>
      <w:r>
        <w:rPr>
          <w:spacing w:val="-3"/>
        </w:rPr>
        <w:t> </w:t>
      </w:r>
      <w:r>
        <w:rPr/>
        <w:t>weaken</w:t>
      </w:r>
      <w:r>
        <w:rPr>
          <w:spacing w:val="-4"/>
        </w:rPr>
        <w:t> </w:t>
      </w:r>
      <w:r>
        <w:rPr/>
        <w:t>fair</w:t>
      </w:r>
      <w:r>
        <w:rPr>
          <w:spacing w:val="-4"/>
        </w:rPr>
        <w:t> </w:t>
      </w:r>
      <w:r>
        <w:rPr/>
        <w:t>housing</w:t>
      </w:r>
      <w:r>
        <w:rPr>
          <w:spacing w:val="-3"/>
        </w:rPr>
        <w:t> </w:t>
      </w:r>
      <w:r>
        <w:rPr/>
        <w:t>and urge</w:t>
      </w:r>
      <w:r>
        <w:rPr>
          <w:spacing w:val="-4"/>
        </w:rPr>
        <w:t> </w:t>
      </w:r>
      <w:r>
        <w:rPr/>
        <w:t>HUD</w:t>
      </w:r>
      <w:r>
        <w:rPr>
          <w:spacing w:val="-2"/>
        </w:rPr>
        <w:t> </w:t>
      </w:r>
      <w:r>
        <w:rPr/>
        <w:t>not</w:t>
      </w:r>
      <w:r>
        <w:rPr>
          <w:spacing w:val="-2"/>
        </w:rPr>
        <w:t> </w:t>
      </w:r>
      <w:r>
        <w:rPr/>
        <w:t>to</w:t>
      </w:r>
      <w:r>
        <w:rPr>
          <w:spacing w:val="-3"/>
        </w:rPr>
        <w:t> </w:t>
      </w:r>
      <w:r>
        <w:rPr/>
        <w:t>rescind</w:t>
      </w:r>
      <w:r>
        <w:rPr>
          <w:spacing w:val="-3"/>
        </w:rPr>
        <w:t> </w:t>
      </w:r>
      <w:r>
        <w:rPr/>
        <w:t>the AFH marketing regulations. Please contact the Housing Task Force co-chairs with any </w:t>
      </w:r>
      <w:r>
        <w:rPr>
          <w:spacing w:val="-2"/>
        </w:rPr>
        <w:t>questions.</w:t>
      </w:r>
    </w:p>
    <w:p>
      <w:pPr>
        <w:pStyle w:val="BodyText"/>
        <w:spacing w:before="276"/>
      </w:pPr>
      <w:r>
        <w:rPr>
          <w:spacing w:val="-2"/>
        </w:rPr>
        <w:t>Sincerely,</w:t>
      </w:r>
    </w:p>
    <w:p>
      <w:pPr>
        <w:pStyle w:val="BodyText"/>
        <w:spacing w:before="10"/>
        <w:ind w:left="0"/>
      </w:pPr>
    </w:p>
    <w:p>
      <w:pPr>
        <w:pStyle w:val="BodyText"/>
        <w:spacing w:line="242" w:lineRule="auto"/>
        <w:ind w:right="4340"/>
      </w:pPr>
      <w:r>
        <w:rPr>
          <w:spacing w:val="-2"/>
        </w:rPr>
        <w:t>Allie</w:t>
      </w:r>
      <w:r>
        <w:rPr>
          <w:spacing w:val="-14"/>
        </w:rPr>
        <w:t> </w:t>
      </w:r>
      <w:r>
        <w:rPr>
          <w:spacing w:val="-2"/>
        </w:rPr>
        <w:t>Cannington,</w:t>
      </w:r>
      <w:r>
        <w:rPr>
          <w:spacing w:val="-12"/>
        </w:rPr>
        <w:t> </w:t>
      </w:r>
      <w:r>
        <w:rPr>
          <w:spacing w:val="-2"/>
        </w:rPr>
        <w:t>Co-Chair,</w:t>
      </w:r>
      <w:r>
        <w:rPr>
          <w:spacing w:val="-18"/>
        </w:rPr>
        <w:t> </w:t>
      </w:r>
      <w:r>
        <w:rPr>
          <w:spacing w:val="-2"/>
        </w:rPr>
        <w:t>CCD</w:t>
      </w:r>
      <w:r>
        <w:rPr>
          <w:spacing w:val="-3"/>
        </w:rPr>
        <w:t> </w:t>
      </w:r>
      <w:r>
        <w:rPr>
          <w:spacing w:val="-2"/>
        </w:rPr>
        <w:t>Housing</w:t>
      </w:r>
      <w:r>
        <w:rPr>
          <w:spacing w:val="-6"/>
        </w:rPr>
        <w:t> </w:t>
      </w:r>
      <w:r>
        <w:rPr>
          <w:spacing w:val="-2"/>
        </w:rPr>
        <w:t>Task</w:t>
      </w:r>
      <w:r>
        <w:rPr>
          <w:spacing w:val="-5"/>
        </w:rPr>
        <w:t> </w:t>
      </w:r>
      <w:r>
        <w:rPr>
          <w:spacing w:val="-2"/>
        </w:rPr>
        <w:t>Force </w:t>
      </w:r>
      <w:r>
        <w:rPr/>
        <w:t>The Kelsey</w:t>
      </w:r>
    </w:p>
    <w:p>
      <w:pPr>
        <w:pStyle w:val="BodyText"/>
        <w:spacing w:line="275" w:lineRule="exact"/>
      </w:pPr>
      <w:hyperlink r:id="rId10">
        <w:r>
          <w:rPr>
            <w:color w:val="0000FF"/>
            <w:spacing w:val="-2"/>
            <w:u w:val="single" w:color="0000FF"/>
          </w:rPr>
          <w:t>allie@thekelsey.org</w:t>
        </w:r>
      </w:hyperlink>
    </w:p>
    <w:p>
      <w:pPr>
        <w:pStyle w:val="BodyText"/>
        <w:spacing w:before="7"/>
        <w:ind w:left="0"/>
      </w:pPr>
    </w:p>
    <w:p>
      <w:pPr>
        <w:pStyle w:val="BodyText"/>
        <w:ind w:right="4340"/>
      </w:pPr>
      <w:r>
        <w:rPr/>
        <w:t>Jennifer</w:t>
      </w:r>
      <w:r>
        <w:rPr>
          <w:spacing w:val="-13"/>
        </w:rPr>
        <w:t> </w:t>
      </w:r>
      <w:r>
        <w:rPr/>
        <w:t>Kye,</w:t>
      </w:r>
      <w:r>
        <w:rPr>
          <w:spacing w:val="-8"/>
        </w:rPr>
        <w:t> </w:t>
      </w:r>
      <w:r>
        <w:rPr/>
        <w:t>Co-Chair,</w:t>
      </w:r>
      <w:r>
        <w:rPr>
          <w:spacing w:val="-15"/>
        </w:rPr>
        <w:t> </w:t>
      </w:r>
      <w:r>
        <w:rPr/>
        <w:t>CCD</w:t>
      </w:r>
      <w:r>
        <w:rPr>
          <w:spacing w:val="-15"/>
        </w:rPr>
        <w:t> </w:t>
      </w:r>
      <w:r>
        <w:rPr/>
        <w:t>Housing</w:t>
      </w:r>
      <w:r>
        <w:rPr>
          <w:spacing w:val="-17"/>
        </w:rPr>
        <w:t> </w:t>
      </w:r>
      <w:r>
        <w:rPr/>
        <w:t>Task</w:t>
      </w:r>
      <w:r>
        <w:rPr>
          <w:spacing w:val="-15"/>
        </w:rPr>
        <w:t> </w:t>
      </w:r>
      <w:r>
        <w:rPr/>
        <w:t>Force Justice in Aging</w:t>
      </w:r>
    </w:p>
    <w:p>
      <w:pPr>
        <w:pStyle w:val="BodyText"/>
      </w:pPr>
      <w:hyperlink r:id="rId11">
        <w:r>
          <w:rPr>
            <w:color w:val="0000FF"/>
            <w:spacing w:val="-2"/>
            <w:u w:val="single" w:color="0000FF"/>
          </w:rPr>
          <w:t>jkye@justiceinaging.org</w:t>
        </w:r>
      </w:hyperlink>
    </w:p>
    <w:p>
      <w:pPr>
        <w:pStyle w:val="BodyText"/>
        <w:ind w:left="0"/>
      </w:pPr>
    </w:p>
    <w:p>
      <w:pPr>
        <w:pStyle w:val="BodyText"/>
        <w:ind w:right="4340"/>
      </w:pPr>
      <w:r>
        <w:rPr/>
        <w:t>Greg</w:t>
      </w:r>
      <w:r>
        <w:rPr>
          <w:spacing w:val="-7"/>
        </w:rPr>
        <w:t> </w:t>
      </w:r>
      <w:r>
        <w:rPr/>
        <w:t>Robinson,</w:t>
      </w:r>
      <w:r>
        <w:rPr>
          <w:spacing w:val="-6"/>
        </w:rPr>
        <w:t> </w:t>
      </w:r>
      <w:r>
        <w:rPr/>
        <w:t>Co-Chair,</w:t>
      </w:r>
      <w:r>
        <w:rPr>
          <w:spacing w:val="-6"/>
        </w:rPr>
        <w:t> </w:t>
      </w:r>
      <w:r>
        <w:rPr/>
        <w:t>CCD</w:t>
      </w:r>
      <w:r>
        <w:rPr>
          <w:spacing w:val="-6"/>
        </w:rPr>
        <w:t> </w:t>
      </w:r>
      <w:r>
        <w:rPr/>
        <w:t>Housing</w:t>
      </w:r>
      <w:r>
        <w:rPr>
          <w:spacing w:val="-7"/>
        </w:rPr>
        <w:t> </w:t>
      </w:r>
      <w:r>
        <w:rPr/>
        <w:t>Task</w:t>
      </w:r>
      <w:r>
        <w:rPr>
          <w:spacing w:val="-8"/>
        </w:rPr>
        <w:t> </w:t>
      </w:r>
      <w:r>
        <w:rPr/>
        <w:t>Force Autistic Self Advocacy Network </w:t>
      </w:r>
      <w:hyperlink r:id="rId12">
        <w:r>
          <w:rPr>
            <w:color w:val="0000FF"/>
            <w:spacing w:val="-2"/>
            <w:u w:val="single" w:color="0000FF"/>
          </w:rPr>
          <w:t>grobinson@autisticadvocacy.org</w:t>
        </w:r>
      </w:hyperlink>
    </w:p>
    <w:sectPr>
      <w:pgSz w:w="12240" w:h="15840"/>
      <w:pgMar w:header="0" w:footer="998" w:top="1280" w:bottom="1280" w:left="86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41760">
              <wp:simplePos x="0" y="0"/>
              <wp:positionH relativeFrom="page">
                <wp:posOffset>3810634</wp:posOffset>
              </wp:positionH>
              <wp:positionV relativeFrom="page">
                <wp:posOffset>9223890</wp:posOffset>
              </wp:positionV>
              <wp:extent cx="165735" cy="1949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735" cy="194945"/>
                      </a:xfrm>
                      <a:prstGeom prst="rect">
                        <a:avLst/>
                      </a:prstGeom>
                    </wps:spPr>
                    <wps:txbx>
                      <w:txbxContent>
                        <w:p>
                          <w:pPr>
                            <w:spacing w:before="21"/>
                            <w:ind w:left="60" w:right="0" w:firstLine="0"/>
                            <w:jc w:val="left"/>
                            <w:rPr>
                              <w:rFonts w:ascii="Tahoma"/>
                              <w:sz w:val="22"/>
                            </w:rPr>
                          </w:pPr>
                          <w:r>
                            <w:rPr>
                              <w:rFonts w:ascii="Tahoma"/>
                              <w:spacing w:val="-10"/>
                              <w:sz w:val="22"/>
                            </w:rPr>
                            <w:fldChar w:fldCharType="begin"/>
                          </w:r>
                          <w:r>
                            <w:rPr>
                              <w:rFonts w:ascii="Tahoma"/>
                              <w:spacing w:val="-10"/>
                              <w:sz w:val="22"/>
                            </w:rPr>
                            <w:instrText> PAGE </w:instrText>
                          </w:r>
                          <w:r>
                            <w:rPr>
                              <w:rFonts w:ascii="Tahoma"/>
                              <w:spacing w:val="-10"/>
                              <w:sz w:val="22"/>
                            </w:rPr>
                            <w:fldChar w:fldCharType="separate"/>
                          </w:r>
                          <w:r>
                            <w:rPr>
                              <w:rFonts w:ascii="Tahoma"/>
                              <w:spacing w:val="-10"/>
                              <w:sz w:val="22"/>
                            </w:rPr>
                            <w:t>1</w:t>
                          </w:r>
                          <w:r>
                            <w:rPr>
                              <w:rFonts w:ascii="Tahoma"/>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049988pt;margin-top:726.290588pt;width:13.05pt;height:15.35pt;mso-position-horizontal-relative:page;mso-position-vertical-relative:page;z-index:-15774720" type="#_x0000_t202" id="docshape1" filled="false" stroked="false">
              <v:textbox inset="0,0,0,0">
                <w:txbxContent>
                  <w:p>
                    <w:pPr>
                      <w:spacing w:before="21"/>
                      <w:ind w:left="60" w:right="0" w:firstLine="0"/>
                      <w:jc w:val="left"/>
                      <w:rPr>
                        <w:rFonts w:ascii="Tahoma"/>
                        <w:sz w:val="22"/>
                      </w:rPr>
                    </w:pPr>
                    <w:r>
                      <w:rPr>
                        <w:rFonts w:ascii="Tahoma"/>
                        <w:spacing w:val="-10"/>
                        <w:sz w:val="22"/>
                      </w:rPr>
                      <w:fldChar w:fldCharType="begin"/>
                    </w:r>
                    <w:r>
                      <w:rPr>
                        <w:rFonts w:ascii="Tahoma"/>
                        <w:spacing w:val="-10"/>
                        <w:sz w:val="22"/>
                      </w:rPr>
                      <w:instrText> PAGE </w:instrText>
                    </w:r>
                    <w:r>
                      <w:rPr>
                        <w:rFonts w:ascii="Tahoma"/>
                        <w:spacing w:val="-10"/>
                        <w:sz w:val="22"/>
                      </w:rPr>
                      <w:fldChar w:fldCharType="separate"/>
                    </w:r>
                    <w:r>
                      <w:rPr>
                        <w:rFonts w:ascii="Tahoma"/>
                        <w:spacing w:val="-10"/>
                        <w:sz w:val="22"/>
                      </w:rPr>
                      <w:t>1</w:t>
                    </w:r>
                    <w:r>
                      <w:rPr>
                        <w:rFonts w:ascii="Tahoma"/>
                        <w:spacing w:val="-10"/>
                        <w:sz w:val="22"/>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220"/>
    </w:pPr>
    <w:rPr>
      <w:rFonts w:ascii="Arial" w:hAnsi="Arial" w:eastAsia="Arial" w:cs="Arial"/>
      <w:sz w:val="24"/>
      <w:szCs w:val="24"/>
      <w:lang w:val="en-US" w:eastAsia="en-US" w:bidi="ar-SA"/>
    </w:rPr>
  </w:style>
  <w:style w:styleId="Title" w:type="paragraph">
    <w:name w:val="Title"/>
    <w:basedOn w:val="Normal"/>
    <w:uiPriority w:val="1"/>
    <w:qFormat/>
    <w:pPr>
      <w:spacing w:before="273"/>
      <w:ind w:left="220"/>
    </w:pPr>
    <w:rPr>
      <w:rFonts w:ascii="Arial" w:hAnsi="Arial" w:eastAsia="Arial" w:cs="Arial"/>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s://www.urban.org/sites/default/files/2022-10/People%20with%20Disabilities%20Living%20in%20the%20US%20Face%20Urgent%20Barriers%20to%20Housing_0.pdf" TargetMode="External"/><Relationship Id="rId8" Type="http://schemas.openxmlformats.org/officeDocument/2006/relationships/hyperlink" Target="https://www.tacinc.org/resources/priced-out/" TargetMode="External"/><Relationship Id="rId9" Type="http://schemas.openxmlformats.org/officeDocument/2006/relationships/hyperlink" Target="https://www.hud.gov/sites/documents/olmsteadguidnc060413.pdf" TargetMode="External"/><Relationship Id="rId10" Type="http://schemas.openxmlformats.org/officeDocument/2006/relationships/hyperlink" Target="mailto:allie@thekelsey.org" TargetMode="External"/><Relationship Id="rId11" Type="http://schemas.openxmlformats.org/officeDocument/2006/relationships/hyperlink" Target="mailto:jkye@justiceinaging.org" TargetMode="External"/><Relationship Id="rId12" Type="http://schemas.openxmlformats.org/officeDocument/2006/relationships/hyperlink" Target="mailto:grobinson@autisticadvocac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Sloane</dc:creator>
  <dcterms:created xsi:type="dcterms:W3CDTF">2025-07-15T23:59:54Z</dcterms:created>
  <dcterms:modified xsi:type="dcterms:W3CDTF">2025-07-15T23:59:54Z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2025-06-27T00:00:00Z</vt:filetime>
  </property>
  <property fmtid="{D5CDD505-2E9C-101B-9397-08002B2CF9AE}" pid="3" name="Creator">
    <vt:lpwstr>Microsoft® Word 2019</vt:lpwstr>
  </property>
  <property fmtid="{D5CDD505-2E9C-101B-9397-08002B2CF9AE}" pid="4" name="LastSaved">
    <vt:filetime>2025-07-15T00:00:00Z</vt:filetime>
  </property>
  <property fmtid="{D5CDD505-2E9C-101B-9397-08002B2CF9AE}" pid="5" name="Producer">
    <vt:lpwstr>Microsoft® Word 2019</vt:lpwstr>
  </property>
</Properties>
</file>