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658"/>
        <w:rPr>
          <w:rFonts w:ascii="Times New Roman"/>
          <w:sz w:val="20"/>
        </w:rPr>
      </w:pPr>
      <w:r>
        <w:rPr>
          <w:rFonts w:ascii="Times New Roman"/>
          <w:sz w:val="20"/>
        </w:rPr>
        <w:drawing>
          <wp:inline distT="0" distB="0" distL="0" distR="0">
            <wp:extent cx="2687945" cy="1395602"/>
            <wp:effectExtent l="0" t="0" r="0" b="0"/>
            <wp:docPr id="2" name="Image 2" descr="A green and white logo  AI-generated content may be incorrect."/>
            <wp:cNvGraphicFramePr>
              <a:graphicFrameLocks/>
            </wp:cNvGraphicFramePr>
            <a:graphic>
              <a:graphicData uri="http://schemas.openxmlformats.org/drawingml/2006/picture">
                <pic:pic>
                  <pic:nvPicPr>
                    <pic:cNvPr id="2" name="Image 2" descr="A green and white logo  AI-generated content may be incorrect."/>
                    <pic:cNvPicPr/>
                  </pic:nvPicPr>
                  <pic:blipFill>
                    <a:blip r:embed="rId6" cstate="print"/>
                    <a:stretch>
                      <a:fillRect/>
                    </a:stretch>
                  </pic:blipFill>
                  <pic:spPr>
                    <a:xfrm>
                      <a:off x="0" y="0"/>
                      <a:ext cx="2687945" cy="1395602"/>
                    </a:xfrm>
                    <a:prstGeom prst="rect">
                      <a:avLst/>
                    </a:prstGeom>
                  </pic:spPr>
                </pic:pic>
              </a:graphicData>
            </a:graphic>
          </wp:inline>
        </w:drawing>
      </w:r>
      <w:r>
        <w:rPr>
          <w:rFonts w:ascii="Times New Roman"/>
          <w:sz w:val="20"/>
        </w:rPr>
      </w:r>
    </w:p>
    <w:p>
      <w:pPr>
        <w:pStyle w:val="BodyText"/>
        <w:spacing w:before="6"/>
        <w:ind w:left="100"/>
      </w:pPr>
      <w:r>
        <w:rPr/>
        <w:t>June</w:t>
      </w:r>
      <w:r>
        <w:rPr>
          <w:spacing w:val="-4"/>
        </w:rPr>
        <w:t> </w:t>
      </w:r>
      <w:r>
        <w:rPr/>
        <w:t>16,</w:t>
      </w:r>
      <w:r>
        <w:rPr>
          <w:spacing w:val="-4"/>
        </w:rPr>
        <w:t> 2025</w:t>
      </w:r>
    </w:p>
    <w:p>
      <w:pPr>
        <w:pStyle w:val="BodyText"/>
      </w:pPr>
    </w:p>
    <w:p>
      <w:pPr>
        <w:pStyle w:val="BodyText"/>
        <w:ind w:left="100"/>
      </w:pPr>
      <w:r>
        <w:rPr/>
        <w:t>Filed</w:t>
      </w:r>
      <w:r>
        <w:rPr>
          <w:spacing w:val="-8"/>
        </w:rPr>
        <w:t> </w:t>
      </w:r>
      <w:r>
        <w:rPr/>
        <w:t>to</w:t>
      </w:r>
      <w:hyperlink r:id="rId7">
        <w:r>
          <w:rPr>
            <w:color w:val="1154CC"/>
            <w:spacing w:val="-8"/>
            <w:u w:val="single" w:color="1154CC"/>
          </w:rPr>
          <w:t> </w:t>
        </w:r>
        <w:r>
          <w:rPr>
            <w:color w:val="1154CC"/>
            <w:u w:val="single" w:color="1154CC"/>
          </w:rPr>
          <w:t>www.regulations.gov</w:t>
        </w:r>
      </w:hyperlink>
      <w:r>
        <w:rPr>
          <w:color w:val="1154CC"/>
          <w:spacing w:val="-9"/>
          <w:u w:val="none"/>
        </w:rPr>
        <w:t> </w:t>
      </w:r>
      <w:r>
        <w:rPr>
          <w:u w:val="none"/>
        </w:rPr>
        <w:t>under</w:t>
      </w:r>
      <w:r>
        <w:rPr>
          <w:spacing w:val="-9"/>
          <w:u w:val="none"/>
        </w:rPr>
        <w:t> </w:t>
      </w:r>
      <w:hyperlink r:id="rId8">
        <w:r>
          <w:rPr>
            <w:color w:val="1154CC"/>
            <w:u w:val="single" w:color="1154CC"/>
          </w:rPr>
          <w:t>DOE-HQ-2025-0015</w:t>
        </w:r>
      </w:hyperlink>
      <w:r>
        <w:rPr>
          <w:color w:val="1154CC"/>
          <w:spacing w:val="-9"/>
          <w:u w:val="none"/>
        </w:rPr>
        <w:t> </w:t>
      </w:r>
      <w:r>
        <w:rPr>
          <w:u w:val="none"/>
        </w:rPr>
        <w:t>and</w:t>
      </w:r>
      <w:r>
        <w:rPr>
          <w:spacing w:val="-7"/>
          <w:u w:val="none"/>
        </w:rPr>
        <w:t> </w:t>
      </w:r>
      <w:hyperlink r:id="rId9">
        <w:r>
          <w:rPr>
            <w:color w:val="1154CC"/>
            <w:u w:val="single" w:color="1154CC"/>
          </w:rPr>
          <w:t>DOE-HQ-2025-</w:t>
        </w:r>
        <w:r>
          <w:rPr>
            <w:color w:val="1154CC"/>
            <w:spacing w:val="-4"/>
            <w:u w:val="single" w:color="1154CC"/>
          </w:rPr>
          <w:t>0024</w:t>
        </w:r>
      </w:hyperlink>
    </w:p>
    <w:p>
      <w:pPr>
        <w:pStyle w:val="BodyText"/>
      </w:pPr>
    </w:p>
    <w:p>
      <w:pPr>
        <w:pStyle w:val="BodyText"/>
        <w:ind w:left="100"/>
      </w:pPr>
      <w:r>
        <w:rPr/>
        <w:t>Emailed</w:t>
      </w:r>
      <w:r>
        <w:rPr>
          <w:spacing w:val="-3"/>
        </w:rPr>
        <w:t> </w:t>
      </w:r>
      <w:r>
        <w:rPr/>
        <w:t>to </w:t>
      </w:r>
      <w:hyperlink r:id="rId10">
        <w:r>
          <w:rPr>
            <w:color w:val="1154CC"/>
            <w:spacing w:val="-2"/>
            <w:u w:val="single" w:color="1154CC"/>
          </w:rPr>
          <w:t>DOEGeneralCounsel@hq.doe.gov</w:t>
        </w:r>
      </w:hyperlink>
    </w:p>
    <w:p>
      <w:pPr>
        <w:pStyle w:val="BodyText"/>
      </w:pPr>
    </w:p>
    <w:p>
      <w:pPr>
        <w:pStyle w:val="BodyText"/>
        <w:spacing w:before="1"/>
        <w:ind w:left="100" w:right="6305"/>
      </w:pPr>
      <w:r>
        <w:rPr/>
        <w:t>Mr. David Taggart Department</w:t>
      </w:r>
      <w:r>
        <w:rPr>
          <w:spacing w:val="-17"/>
        </w:rPr>
        <w:t> </w:t>
      </w:r>
      <w:r>
        <w:rPr/>
        <w:t>of</w:t>
      </w:r>
      <w:r>
        <w:rPr>
          <w:spacing w:val="-17"/>
        </w:rPr>
        <w:t> </w:t>
      </w:r>
      <w:r>
        <w:rPr/>
        <w:t>Energy</w:t>
      </w:r>
    </w:p>
    <w:p>
      <w:pPr>
        <w:pStyle w:val="BodyText"/>
        <w:ind w:left="100" w:right="6296"/>
      </w:pPr>
      <w:r>
        <w:rPr/>
        <w:t>Office</w:t>
      </w:r>
      <w:r>
        <w:rPr>
          <w:spacing w:val="-10"/>
        </w:rPr>
        <w:t> </w:t>
      </w:r>
      <w:r>
        <w:rPr/>
        <w:t>of</w:t>
      </w:r>
      <w:r>
        <w:rPr>
          <w:spacing w:val="-10"/>
        </w:rPr>
        <w:t> </w:t>
      </w:r>
      <w:r>
        <w:rPr/>
        <w:t>the</w:t>
      </w:r>
      <w:r>
        <w:rPr>
          <w:spacing w:val="-10"/>
        </w:rPr>
        <w:t> </w:t>
      </w:r>
      <w:r>
        <w:rPr/>
        <w:t>General</w:t>
      </w:r>
      <w:r>
        <w:rPr>
          <w:spacing w:val="-10"/>
        </w:rPr>
        <w:t> </w:t>
      </w:r>
      <w:r>
        <w:rPr/>
        <w:t>Counsel </w:t>
      </w:r>
      <w:r>
        <w:rPr>
          <w:spacing w:val="-4"/>
        </w:rPr>
        <w:t>GC-1</w:t>
      </w:r>
    </w:p>
    <w:p>
      <w:pPr>
        <w:pStyle w:val="BodyText"/>
        <w:ind w:left="100" w:right="4731"/>
      </w:pPr>
      <w:r>
        <w:rPr/>
        <w:t>1000</w:t>
      </w:r>
      <w:r>
        <w:rPr>
          <w:spacing w:val="-14"/>
        </w:rPr>
        <w:t> </w:t>
      </w:r>
      <w:r>
        <w:rPr/>
        <w:t>Independence</w:t>
      </w:r>
      <w:r>
        <w:rPr>
          <w:spacing w:val="-14"/>
        </w:rPr>
        <w:t> </w:t>
      </w:r>
      <w:r>
        <w:rPr/>
        <w:t>Avenue</w:t>
      </w:r>
      <w:r>
        <w:rPr>
          <w:spacing w:val="-14"/>
        </w:rPr>
        <w:t> </w:t>
      </w:r>
      <w:r>
        <w:rPr/>
        <w:t>SW Washington, DC 20585</w:t>
      </w:r>
    </w:p>
    <w:p>
      <w:pPr>
        <w:pStyle w:val="BodyText"/>
        <w:tabs>
          <w:tab w:pos="2260" w:val="left" w:leader="none"/>
        </w:tabs>
        <w:spacing w:before="276"/>
        <w:ind w:left="1540"/>
      </w:pPr>
      <w:r>
        <w:rPr>
          <w:spacing w:val="-5"/>
        </w:rPr>
        <w:t>RE:</w:t>
      </w:r>
      <w:r>
        <w:rPr/>
        <w:tab/>
        <w:t>RIN</w:t>
      </w:r>
      <w:r>
        <w:rPr>
          <w:spacing w:val="-9"/>
        </w:rPr>
        <w:t> </w:t>
      </w:r>
      <w:r>
        <w:rPr/>
        <w:t>1903-AA24,</w:t>
      </w:r>
      <w:r>
        <w:rPr>
          <w:spacing w:val="-8"/>
        </w:rPr>
        <w:t> </w:t>
      </w:r>
      <w:r>
        <w:rPr/>
        <w:t>Docket</w:t>
      </w:r>
      <w:r>
        <w:rPr>
          <w:spacing w:val="-8"/>
        </w:rPr>
        <w:t> </w:t>
      </w:r>
      <w:r>
        <w:rPr/>
        <w:t>Number</w:t>
      </w:r>
      <w:r>
        <w:rPr>
          <w:spacing w:val="-8"/>
        </w:rPr>
        <w:t> </w:t>
      </w:r>
      <w:hyperlink r:id="rId11">
        <w:r>
          <w:rPr>
            <w:color w:val="1154CC"/>
            <w:u w:val="single" w:color="1154CC"/>
          </w:rPr>
          <w:t>DOE-HQ-2025-0015</w:t>
        </w:r>
      </w:hyperlink>
      <w:r>
        <w:rPr>
          <w:color w:val="1154CC"/>
          <w:spacing w:val="-8"/>
          <w:u w:val="none"/>
        </w:rPr>
        <w:t> </w:t>
      </w:r>
      <w:r>
        <w:rPr>
          <w:spacing w:val="-4"/>
          <w:u w:val="none"/>
        </w:rPr>
        <w:t>(New</w:t>
      </w:r>
    </w:p>
    <w:p>
      <w:pPr>
        <w:pStyle w:val="BodyText"/>
        <w:ind w:left="1540"/>
      </w:pPr>
      <w:r>
        <w:rPr/>
        <w:t>Construction</w:t>
      </w:r>
      <w:r>
        <w:rPr>
          <w:spacing w:val="-7"/>
        </w:rPr>
        <w:t> </w:t>
      </w:r>
      <w:r>
        <w:rPr/>
        <w:t>Requirements</w:t>
      </w:r>
      <w:r>
        <w:rPr>
          <w:spacing w:val="-7"/>
        </w:rPr>
        <w:t> </w:t>
      </w:r>
      <w:r>
        <w:rPr/>
        <w:t>Related</w:t>
      </w:r>
      <w:r>
        <w:rPr>
          <w:spacing w:val="-8"/>
        </w:rPr>
        <w:t> </w:t>
      </w:r>
      <w:r>
        <w:rPr/>
        <w:t>to</w:t>
      </w:r>
      <w:r>
        <w:rPr>
          <w:spacing w:val="-8"/>
        </w:rPr>
        <w:t> </w:t>
      </w:r>
      <w:r>
        <w:rPr/>
        <w:t>Nondiscrimination</w:t>
      </w:r>
      <w:r>
        <w:rPr>
          <w:spacing w:val="-8"/>
        </w:rPr>
        <w:t> </w:t>
      </w:r>
      <w:r>
        <w:rPr/>
        <w:t>in</w:t>
      </w:r>
      <w:r>
        <w:rPr>
          <w:spacing w:val="-7"/>
        </w:rPr>
        <w:t> </w:t>
      </w:r>
      <w:r>
        <w:rPr/>
        <w:t>Federally Assisted Programs or Activities)</w:t>
      </w:r>
    </w:p>
    <w:p>
      <w:pPr>
        <w:pStyle w:val="BodyText"/>
      </w:pPr>
    </w:p>
    <w:p>
      <w:pPr>
        <w:pStyle w:val="BodyText"/>
        <w:ind w:left="1540" w:right="141"/>
      </w:pPr>
      <w:r>
        <w:rPr/>
        <w:t>RIN 1903-AA20, Docket Number </w:t>
      </w:r>
      <w:hyperlink r:id="rId12">
        <w:r>
          <w:rPr>
            <w:color w:val="1154CC"/>
            <w:u w:val="single" w:color="1154CC"/>
          </w:rPr>
          <w:t>DOE-HQ-2025-0024</w:t>
        </w:r>
      </w:hyperlink>
      <w:r>
        <w:rPr>
          <w:color w:val="1154CC"/>
          <w:u w:val="none"/>
        </w:rPr>
        <w:t> </w:t>
      </w:r>
      <w:r>
        <w:rPr>
          <w:u w:val="none"/>
        </w:rPr>
        <w:t>(Rescinding Regulations</w:t>
      </w:r>
      <w:r>
        <w:rPr>
          <w:spacing w:val="-5"/>
          <w:u w:val="none"/>
        </w:rPr>
        <w:t> </w:t>
      </w:r>
      <w:r>
        <w:rPr>
          <w:u w:val="none"/>
        </w:rPr>
        <w:t>Related</w:t>
      </w:r>
      <w:r>
        <w:rPr>
          <w:spacing w:val="-7"/>
          <w:u w:val="none"/>
        </w:rPr>
        <w:t> </w:t>
      </w:r>
      <w:r>
        <w:rPr>
          <w:u w:val="none"/>
        </w:rPr>
        <w:t>to</w:t>
      </w:r>
      <w:r>
        <w:rPr>
          <w:spacing w:val="-7"/>
          <w:u w:val="none"/>
        </w:rPr>
        <w:t> </w:t>
      </w:r>
      <w:r>
        <w:rPr>
          <w:u w:val="none"/>
        </w:rPr>
        <w:t>Nondiscrimination</w:t>
      </w:r>
      <w:r>
        <w:rPr>
          <w:spacing w:val="-7"/>
          <w:u w:val="none"/>
        </w:rPr>
        <w:t> </w:t>
      </w:r>
      <w:r>
        <w:rPr>
          <w:u w:val="none"/>
        </w:rPr>
        <w:t>in</w:t>
      </w:r>
      <w:r>
        <w:rPr>
          <w:spacing w:val="-5"/>
          <w:u w:val="none"/>
        </w:rPr>
        <w:t> </w:t>
      </w:r>
      <w:r>
        <w:rPr>
          <w:u w:val="none"/>
        </w:rPr>
        <w:t>Federally</w:t>
      </w:r>
      <w:r>
        <w:rPr>
          <w:spacing w:val="-5"/>
          <w:u w:val="none"/>
        </w:rPr>
        <w:t> </w:t>
      </w:r>
      <w:r>
        <w:rPr>
          <w:u w:val="none"/>
        </w:rPr>
        <w:t>Assisted</w:t>
      </w:r>
      <w:r>
        <w:rPr>
          <w:spacing w:val="-7"/>
          <w:u w:val="none"/>
        </w:rPr>
        <w:t> </w:t>
      </w:r>
      <w:r>
        <w:rPr>
          <w:u w:val="none"/>
        </w:rPr>
        <w:t>Programs or Activities (General Provisions))</w:t>
      </w:r>
    </w:p>
    <w:p>
      <w:pPr>
        <w:pStyle w:val="BodyText"/>
        <w:spacing w:before="240"/>
        <w:ind w:left="100"/>
      </w:pPr>
      <w:r>
        <w:rPr/>
        <w:t>Dear</w:t>
      </w:r>
      <w:r>
        <w:rPr>
          <w:spacing w:val="-6"/>
        </w:rPr>
        <w:t> </w:t>
      </w:r>
      <w:r>
        <w:rPr/>
        <w:t>Mr.</w:t>
      </w:r>
      <w:r>
        <w:rPr>
          <w:spacing w:val="-4"/>
        </w:rPr>
        <w:t> </w:t>
      </w:r>
      <w:r>
        <w:rPr>
          <w:spacing w:val="-2"/>
        </w:rPr>
        <w:t>Taggart:</w:t>
      </w:r>
    </w:p>
    <w:p>
      <w:pPr>
        <w:pStyle w:val="BodyText"/>
      </w:pPr>
    </w:p>
    <w:p>
      <w:pPr>
        <w:pStyle w:val="BodyText"/>
        <w:ind w:left="100" w:right="101"/>
      </w:pPr>
      <w:r>
        <w:rPr/>
        <w:t>As co-chairs of the Consortium for Constituents with Disabilities (CCD) Rights Task Force, we submit these comments on the above-captioned Direct Final Rules.</w:t>
      </w:r>
      <w:r>
        <w:rPr>
          <w:spacing w:val="40"/>
        </w:rPr>
        <w:t> </w:t>
      </w:r>
      <w:r>
        <w:rPr/>
        <w:t>CCD is the largest coalition of national organizations advocating for federal public policy that ensures</w:t>
      </w:r>
      <w:r>
        <w:rPr>
          <w:spacing w:val="-2"/>
        </w:rPr>
        <w:t> </w:t>
      </w:r>
      <w:r>
        <w:rPr/>
        <w:t>the</w:t>
      </w:r>
      <w:r>
        <w:rPr>
          <w:spacing w:val="-2"/>
        </w:rPr>
        <w:t> </w:t>
      </w:r>
      <w:r>
        <w:rPr/>
        <w:t>self-determination, independence, empowerment,</w:t>
      </w:r>
      <w:r>
        <w:rPr>
          <w:spacing w:val="-2"/>
        </w:rPr>
        <w:t> </w:t>
      </w:r>
      <w:r>
        <w:rPr/>
        <w:t>integration,</w:t>
      </w:r>
      <w:r>
        <w:rPr>
          <w:spacing w:val="-2"/>
        </w:rPr>
        <w:t> </w:t>
      </w:r>
      <w:r>
        <w:rPr/>
        <w:t>and</w:t>
      </w:r>
      <w:r>
        <w:rPr>
          <w:spacing w:val="-2"/>
        </w:rPr>
        <w:t> </w:t>
      </w:r>
      <w:r>
        <w:rPr/>
        <w:t>inclusion of children and adults with disabilities in all aspects of society.</w:t>
      </w:r>
      <w:r>
        <w:rPr>
          <w:spacing w:val="40"/>
        </w:rPr>
        <w:t> </w:t>
      </w:r>
      <w:r>
        <w:rPr/>
        <w:t>We write in strong opposition to these rules, which are wholly inappropriate for the Direct Final Rule process</w:t>
      </w:r>
      <w:r>
        <w:rPr>
          <w:spacing w:val="-3"/>
        </w:rPr>
        <w:t> </w:t>
      </w:r>
      <w:r>
        <w:rPr/>
        <w:t>and</w:t>
      </w:r>
      <w:r>
        <w:rPr>
          <w:spacing w:val="-3"/>
        </w:rPr>
        <w:t> </w:t>
      </w:r>
      <w:r>
        <w:rPr/>
        <w:t>would</w:t>
      </w:r>
      <w:r>
        <w:rPr>
          <w:spacing w:val="-5"/>
        </w:rPr>
        <w:t> </w:t>
      </w:r>
      <w:r>
        <w:rPr/>
        <w:t>upend</w:t>
      </w:r>
      <w:r>
        <w:rPr>
          <w:spacing w:val="-5"/>
        </w:rPr>
        <w:t> </w:t>
      </w:r>
      <w:r>
        <w:rPr/>
        <w:t>nearly</w:t>
      </w:r>
      <w:r>
        <w:rPr>
          <w:spacing w:val="-3"/>
        </w:rPr>
        <w:t> </w:t>
      </w:r>
      <w:r>
        <w:rPr/>
        <w:t>fifty</w:t>
      </w:r>
      <w:r>
        <w:rPr>
          <w:spacing w:val="-3"/>
        </w:rPr>
        <w:t> </w:t>
      </w:r>
      <w:r>
        <w:rPr/>
        <w:t>years</w:t>
      </w:r>
      <w:r>
        <w:rPr>
          <w:spacing w:val="-3"/>
        </w:rPr>
        <w:t> </w:t>
      </w:r>
      <w:r>
        <w:rPr/>
        <w:t>of</w:t>
      </w:r>
      <w:r>
        <w:rPr>
          <w:spacing w:val="-3"/>
        </w:rPr>
        <w:t> </w:t>
      </w:r>
      <w:r>
        <w:rPr/>
        <w:t>reliance</w:t>
      </w:r>
      <w:r>
        <w:rPr>
          <w:spacing w:val="-5"/>
        </w:rPr>
        <w:t> </w:t>
      </w:r>
      <w:r>
        <w:rPr/>
        <w:t>on</w:t>
      </w:r>
      <w:r>
        <w:rPr>
          <w:spacing w:val="-5"/>
        </w:rPr>
        <w:t> </w:t>
      </w:r>
      <w:r>
        <w:rPr/>
        <w:t>established</w:t>
      </w:r>
      <w:r>
        <w:rPr>
          <w:spacing w:val="-3"/>
        </w:rPr>
        <w:t> </w:t>
      </w:r>
      <w:r>
        <w:rPr/>
        <w:t>standards,</w:t>
      </w:r>
      <w:r>
        <w:rPr>
          <w:spacing w:val="-3"/>
        </w:rPr>
        <w:t> </w:t>
      </w:r>
      <w:r>
        <w:rPr/>
        <w:t>placing people with disabilities at risk of exclusion from federally funded programs and activities and creating chaos and confusion for regulated entities.</w:t>
      </w:r>
    </w:p>
    <w:p>
      <w:pPr>
        <w:pStyle w:val="BodyText"/>
        <w:spacing w:before="1"/>
      </w:pPr>
    </w:p>
    <w:p>
      <w:pPr>
        <w:pStyle w:val="BodyText"/>
        <w:ind w:left="100" w:right="101"/>
      </w:pPr>
      <w:r>
        <w:rPr/>
        <w:t>This is a </w:t>
      </w:r>
      <w:r>
        <w:rPr>
          <w:b/>
          <w:u w:val="single"/>
        </w:rPr>
        <w:t>significant adverse comment</w:t>
      </w:r>
      <w:r>
        <w:rPr>
          <w:b/>
          <w:u w:val="none"/>
        </w:rPr>
        <w:t> </w:t>
      </w:r>
      <w:r>
        <w:rPr>
          <w:u w:val="none"/>
        </w:rPr>
        <w:t>opposing the above-referenced Direct Final Rules. These rules would rescind key portions of the Department of Energy (DOE)’s regulations implementing Section 504 of the Rehabilitation Act. Number 2025-0015 would rescind 10 C.F.R. § 1040.73, which requires recipients to ensure that new construction</w:t>
      </w:r>
      <w:r>
        <w:rPr>
          <w:spacing w:val="-3"/>
          <w:u w:val="none"/>
        </w:rPr>
        <w:t> </w:t>
      </w:r>
      <w:r>
        <w:rPr>
          <w:u w:val="none"/>
        </w:rPr>
        <w:t>and</w:t>
      </w:r>
      <w:r>
        <w:rPr>
          <w:spacing w:val="-5"/>
          <w:u w:val="none"/>
        </w:rPr>
        <w:t> </w:t>
      </w:r>
      <w:r>
        <w:rPr>
          <w:u w:val="none"/>
        </w:rPr>
        <w:t>alteration</w:t>
      </w:r>
      <w:r>
        <w:rPr>
          <w:spacing w:val="-3"/>
          <w:u w:val="none"/>
        </w:rPr>
        <w:t> </w:t>
      </w:r>
      <w:r>
        <w:rPr>
          <w:u w:val="none"/>
        </w:rPr>
        <w:t>is</w:t>
      </w:r>
      <w:r>
        <w:rPr>
          <w:spacing w:val="-3"/>
          <w:u w:val="none"/>
        </w:rPr>
        <w:t> </w:t>
      </w:r>
      <w:r>
        <w:rPr>
          <w:u w:val="none"/>
        </w:rPr>
        <w:t>fully</w:t>
      </w:r>
      <w:r>
        <w:rPr>
          <w:spacing w:val="-3"/>
          <w:u w:val="none"/>
        </w:rPr>
        <w:t> </w:t>
      </w:r>
      <w:r>
        <w:rPr>
          <w:u w:val="none"/>
        </w:rPr>
        <w:t>accessible</w:t>
      </w:r>
      <w:r>
        <w:rPr>
          <w:spacing w:val="-5"/>
          <w:u w:val="none"/>
        </w:rPr>
        <w:t> </w:t>
      </w:r>
      <w:r>
        <w:rPr>
          <w:u w:val="none"/>
        </w:rPr>
        <w:t>to</w:t>
      </w:r>
      <w:r>
        <w:rPr>
          <w:spacing w:val="-3"/>
          <w:u w:val="none"/>
        </w:rPr>
        <w:t> </w:t>
      </w:r>
      <w:r>
        <w:rPr>
          <w:u w:val="none"/>
        </w:rPr>
        <w:t>people</w:t>
      </w:r>
      <w:r>
        <w:rPr>
          <w:spacing w:val="-3"/>
          <w:u w:val="none"/>
        </w:rPr>
        <w:t> </w:t>
      </w:r>
      <w:r>
        <w:rPr>
          <w:u w:val="none"/>
        </w:rPr>
        <w:t>with</w:t>
      </w:r>
      <w:r>
        <w:rPr>
          <w:spacing w:val="-3"/>
          <w:u w:val="none"/>
        </w:rPr>
        <w:t> </w:t>
      </w:r>
      <w:r>
        <w:rPr>
          <w:u w:val="none"/>
        </w:rPr>
        <w:t>disabilities.</w:t>
      </w:r>
      <w:r>
        <w:rPr>
          <w:spacing w:val="-3"/>
          <w:u w:val="none"/>
        </w:rPr>
        <w:t> </w:t>
      </w:r>
      <w:r>
        <w:rPr>
          <w:u w:val="none"/>
        </w:rPr>
        <w:t>Number</w:t>
      </w:r>
      <w:r>
        <w:rPr>
          <w:spacing w:val="-6"/>
          <w:u w:val="none"/>
        </w:rPr>
        <w:t> </w:t>
      </w:r>
      <w:r>
        <w:rPr>
          <w:u w:val="none"/>
        </w:rPr>
        <w:t>2025- 0024 would rescind portions of DOE’s program access rule for existing facilities at 10</w:t>
      </w:r>
    </w:p>
    <w:p>
      <w:pPr>
        <w:spacing w:after="0"/>
        <w:sectPr>
          <w:footerReference w:type="default" r:id="rId5"/>
          <w:type w:val="continuous"/>
          <w:pgSz w:w="12240" w:h="15840"/>
          <w:pgMar w:header="0" w:footer="827" w:top="1440" w:bottom="1020" w:left="1340" w:right="1340"/>
          <w:pgNumType w:start="1"/>
        </w:sectPr>
      </w:pPr>
    </w:p>
    <w:p>
      <w:pPr>
        <w:pStyle w:val="BodyText"/>
        <w:spacing w:before="81"/>
        <w:ind w:left="100" w:right="101"/>
      </w:pPr>
      <w:r>
        <w:rPr/>
        <w:t>C.F.R.</w:t>
      </w:r>
      <w:r>
        <w:rPr>
          <w:spacing w:val="-3"/>
        </w:rPr>
        <w:t> </w:t>
      </w:r>
      <w:r>
        <w:rPr/>
        <w:t>§</w:t>
      </w:r>
      <w:r>
        <w:rPr>
          <w:spacing w:val="-3"/>
        </w:rPr>
        <w:t> </w:t>
      </w:r>
      <w:r>
        <w:rPr/>
        <w:t>1040.72(c)</w:t>
      </w:r>
      <w:r>
        <w:rPr>
          <w:spacing w:val="-6"/>
        </w:rPr>
        <w:t> </w:t>
      </w:r>
      <w:r>
        <w:rPr/>
        <w:t>&amp;</w:t>
      </w:r>
      <w:r>
        <w:rPr>
          <w:spacing w:val="-8"/>
        </w:rPr>
        <w:t> </w:t>
      </w:r>
      <w:r>
        <w:rPr/>
        <w:t>(d),</w:t>
      </w:r>
      <w:r>
        <w:rPr>
          <w:spacing w:val="-3"/>
        </w:rPr>
        <w:t> </w:t>
      </w:r>
      <w:r>
        <w:rPr/>
        <w:t>including</w:t>
      </w:r>
      <w:r>
        <w:rPr>
          <w:spacing w:val="-4"/>
        </w:rPr>
        <w:t> </w:t>
      </w:r>
      <w:r>
        <w:rPr/>
        <w:t>the</w:t>
      </w:r>
      <w:r>
        <w:rPr>
          <w:spacing w:val="-3"/>
        </w:rPr>
        <w:t> </w:t>
      </w:r>
      <w:r>
        <w:rPr/>
        <w:t>requirement</w:t>
      </w:r>
      <w:r>
        <w:rPr>
          <w:spacing w:val="-3"/>
        </w:rPr>
        <w:t> </w:t>
      </w:r>
      <w:r>
        <w:rPr/>
        <w:t>to</w:t>
      </w:r>
      <w:r>
        <w:rPr>
          <w:spacing w:val="-5"/>
        </w:rPr>
        <w:t> </w:t>
      </w:r>
      <w:r>
        <w:rPr/>
        <w:t>make</w:t>
      </w:r>
      <w:r>
        <w:rPr>
          <w:spacing w:val="-3"/>
        </w:rPr>
        <w:t> </w:t>
      </w:r>
      <w:r>
        <w:rPr/>
        <w:t>a</w:t>
      </w:r>
      <w:r>
        <w:rPr>
          <w:spacing w:val="-4"/>
        </w:rPr>
        <w:t> </w:t>
      </w:r>
      <w:r>
        <w:rPr/>
        <w:t>transition</w:t>
      </w:r>
      <w:r>
        <w:rPr>
          <w:spacing w:val="-3"/>
        </w:rPr>
        <w:t> </w:t>
      </w:r>
      <w:r>
        <w:rPr/>
        <w:t>plan</w:t>
      </w:r>
      <w:r>
        <w:rPr>
          <w:spacing w:val="-3"/>
        </w:rPr>
        <w:t> </w:t>
      </w:r>
      <w:r>
        <w:rPr/>
        <w:t>to eliminate access barriers in these existing facilities.</w:t>
      </w:r>
    </w:p>
    <w:p>
      <w:pPr>
        <w:pStyle w:val="Heading1"/>
        <w:spacing w:before="276"/>
        <w:ind w:left="478"/>
        <w:rPr>
          <w:u w:val="none"/>
        </w:rPr>
      </w:pPr>
      <w:r>
        <w:rPr>
          <w:u w:val="single"/>
        </w:rPr>
        <w:t>The</w:t>
      </w:r>
      <w:r>
        <w:rPr>
          <w:spacing w:val="-4"/>
          <w:u w:val="single"/>
        </w:rPr>
        <w:t> </w:t>
      </w:r>
      <w:r>
        <w:rPr>
          <w:u w:val="single"/>
        </w:rPr>
        <w:t>Rules</w:t>
      </w:r>
      <w:r>
        <w:rPr>
          <w:spacing w:val="-5"/>
          <w:u w:val="single"/>
        </w:rPr>
        <w:t> </w:t>
      </w:r>
      <w:r>
        <w:rPr>
          <w:u w:val="single"/>
        </w:rPr>
        <w:t>are</w:t>
      </w:r>
      <w:r>
        <w:rPr>
          <w:spacing w:val="-4"/>
          <w:u w:val="single"/>
        </w:rPr>
        <w:t> </w:t>
      </w:r>
      <w:r>
        <w:rPr>
          <w:u w:val="single"/>
        </w:rPr>
        <w:t>Improperly</w:t>
      </w:r>
      <w:r>
        <w:rPr>
          <w:spacing w:val="-3"/>
          <w:u w:val="single"/>
        </w:rPr>
        <w:t> </w:t>
      </w:r>
      <w:r>
        <w:rPr>
          <w:u w:val="single"/>
        </w:rPr>
        <w:t>Issued</w:t>
      </w:r>
      <w:r>
        <w:rPr>
          <w:spacing w:val="-3"/>
          <w:u w:val="single"/>
        </w:rPr>
        <w:t> </w:t>
      </w:r>
      <w:r>
        <w:rPr>
          <w:u w:val="single"/>
        </w:rPr>
        <w:t>as</w:t>
      </w:r>
      <w:r>
        <w:rPr>
          <w:spacing w:val="-6"/>
          <w:u w:val="single"/>
        </w:rPr>
        <w:t> </w:t>
      </w:r>
      <w:r>
        <w:rPr>
          <w:u w:val="single"/>
        </w:rPr>
        <w:t>Directly</w:t>
      </w:r>
      <w:r>
        <w:rPr>
          <w:spacing w:val="-3"/>
          <w:u w:val="single"/>
        </w:rPr>
        <w:t> </w:t>
      </w:r>
      <w:r>
        <w:rPr>
          <w:u w:val="single"/>
        </w:rPr>
        <w:t>Final</w:t>
      </w:r>
      <w:r>
        <w:rPr>
          <w:spacing w:val="-3"/>
          <w:u w:val="single"/>
        </w:rPr>
        <w:t> </w:t>
      </w:r>
      <w:r>
        <w:rPr>
          <w:spacing w:val="-2"/>
          <w:u w:val="single"/>
        </w:rPr>
        <w:t>Rules</w:t>
      </w:r>
    </w:p>
    <w:p>
      <w:pPr>
        <w:pStyle w:val="BodyText"/>
        <w:spacing w:before="276"/>
        <w:ind w:left="100" w:right="141"/>
      </w:pPr>
      <w:r>
        <w:rPr/>
        <w:t>The Department has no authority under the Administrative Procedures Act to promulgate Direct Final Rules on these topics. “Direct final rules” must be routine or noncontroversial.</w:t>
      </w:r>
      <w:r>
        <w:rPr>
          <w:spacing w:val="-2"/>
        </w:rPr>
        <w:t> </w:t>
      </w:r>
      <w:r>
        <w:rPr/>
        <w:t>These</w:t>
      </w:r>
      <w:r>
        <w:rPr>
          <w:spacing w:val="-4"/>
        </w:rPr>
        <w:t> </w:t>
      </w:r>
      <w:r>
        <w:rPr/>
        <w:t>rules</w:t>
      </w:r>
      <w:r>
        <w:rPr>
          <w:spacing w:val="-2"/>
        </w:rPr>
        <w:t> </w:t>
      </w:r>
      <w:r>
        <w:rPr/>
        <w:t>are</w:t>
      </w:r>
      <w:r>
        <w:rPr>
          <w:spacing w:val="-4"/>
        </w:rPr>
        <w:t> </w:t>
      </w:r>
      <w:r>
        <w:rPr/>
        <w:t>neither.</w:t>
      </w:r>
      <w:r>
        <w:rPr>
          <w:spacing w:val="-3"/>
        </w:rPr>
        <w:t> </w:t>
      </w:r>
      <w:r>
        <w:rPr/>
        <w:t>They</w:t>
      </w:r>
      <w:r>
        <w:rPr>
          <w:spacing w:val="-4"/>
        </w:rPr>
        <w:t> </w:t>
      </w:r>
      <w:r>
        <w:rPr/>
        <w:t>withdraw</w:t>
      </w:r>
      <w:r>
        <w:rPr>
          <w:spacing w:val="-5"/>
        </w:rPr>
        <w:t> </w:t>
      </w:r>
      <w:r>
        <w:rPr/>
        <w:t>provisions</w:t>
      </w:r>
      <w:r>
        <w:rPr>
          <w:spacing w:val="-6"/>
        </w:rPr>
        <w:t> </w:t>
      </w:r>
      <w:r>
        <w:rPr/>
        <w:t>that</w:t>
      </w:r>
      <w:r>
        <w:rPr>
          <w:spacing w:val="-6"/>
        </w:rPr>
        <w:t> </w:t>
      </w:r>
      <w:r>
        <w:rPr/>
        <w:t>have</w:t>
      </w:r>
      <w:r>
        <w:rPr>
          <w:spacing w:val="-4"/>
        </w:rPr>
        <w:t> </w:t>
      </w:r>
      <w:r>
        <w:rPr/>
        <w:t>been</w:t>
      </w:r>
      <w:r>
        <w:rPr>
          <w:spacing w:val="-6"/>
        </w:rPr>
        <w:t> </w:t>
      </w:r>
      <w:r>
        <w:rPr/>
        <w:t>in law and relied on for decades by people with disabilities and regulated entities alike.</w:t>
      </w:r>
    </w:p>
    <w:p>
      <w:pPr>
        <w:pStyle w:val="BodyText"/>
        <w:ind w:left="100"/>
      </w:pPr>
      <w:r>
        <w:rPr/>
        <w:t>They</w:t>
      </w:r>
      <w:r>
        <w:rPr>
          <w:spacing w:val="-4"/>
        </w:rPr>
        <w:t> </w:t>
      </w:r>
      <w:r>
        <w:rPr/>
        <w:t>would</w:t>
      </w:r>
      <w:r>
        <w:rPr>
          <w:spacing w:val="-4"/>
        </w:rPr>
        <w:t> </w:t>
      </w:r>
      <w:r>
        <w:rPr/>
        <w:t>delete</w:t>
      </w:r>
      <w:r>
        <w:rPr>
          <w:spacing w:val="-6"/>
        </w:rPr>
        <w:t> </w:t>
      </w:r>
      <w:r>
        <w:rPr/>
        <w:t>foundational</w:t>
      </w:r>
      <w:r>
        <w:rPr>
          <w:spacing w:val="-7"/>
        </w:rPr>
        <w:t> </w:t>
      </w:r>
      <w:r>
        <w:rPr/>
        <w:t>provisions</w:t>
      </w:r>
      <w:r>
        <w:rPr>
          <w:spacing w:val="-4"/>
        </w:rPr>
        <w:t> </w:t>
      </w:r>
      <w:r>
        <w:rPr/>
        <w:t>implementing</w:t>
      </w:r>
      <w:r>
        <w:rPr>
          <w:spacing w:val="-4"/>
        </w:rPr>
        <w:t> </w:t>
      </w:r>
      <w:r>
        <w:rPr/>
        <w:t>Section</w:t>
      </w:r>
      <w:r>
        <w:rPr>
          <w:spacing w:val="-6"/>
        </w:rPr>
        <w:t> </w:t>
      </w:r>
      <w:r>
        <w:rPr/>
        <w:t>504</w:t>
      </w:r>
      <w:r>
        <w:rPr>
          <w:spacing w:val="-4"/>
        </w:rPr>
        <w:t> </w:t>
      </w:r>
      <w:r>
        <w:rPr/>
        <w:t>in</w:t>
      </w:r>
      <w:r>
        <w:rPr>
          <w:spacing w:val="-4"/>
        </w:rPr>
        <w:t> </w:t>
      </w:r>
      <w:r>
        <w:rPr/>
        <w:t>contradiction</w:t>
      </w:r>
      <w:r>
        <w:rPr>
          <w:spacing w:val="-6"/>
        </w:rPr>
        <w:t> </w:t>
      </w:r>
      <w:r>
        <w:rPr/>
        <w:t>of Congress’s clear understanding of the law.</w:t>
      </w:r>
    </w:p>
    <w:p>
      <w:pPr>
        <w:pStyle w:val="BodyText"/>
      </w:pPr>
    </w:p>
    <w:p>
      <w:pPr>
        <w:pStyle w:val="BodyText"/>
        <w:ind w:left="100"/>
      </w:pPr>
      <w:r>
        <w:rPr/>
        <w:t>“[E]limination of architectural barriers was one of the central aims of the [Rehabilitation] Act.” </w:t>
      </w:r>
      <w:r>
        <w:rPr>
          <w:i/>
        </w:rPr>
        <w:t>Alexander v. Choate</w:t>
      </w:r>
      <w:r>
        <w:rPr/>
        <w:t>, 469 U.S. 287, 297 (1985). The requirement that newly constructed and altered facilities be fully accessible to people with disabilities, as measured</w:t>
      </w:r>
      <w:r>
        <w:rPr>
          <w:spacing w:val="-5"/>
        </w:rPr>
        <w:t> </w:t>
      </w:r>
      <w:r>
        <w:rPr/>
        <w:t>by</w:t>
      </w:r>
      <w:r>
        <w:rPr>
          <w:spacing w:val="-3"/>
        </w:rPr>
        <w:t> </w:t>
      </w:r>
      <w:r>
        <w:rPr/>
        <w:t>applicable</w:t>
      </w:r>
      <w:r>
        <w:rPr>
          <w:spacing w:val="-3"/>
        </w:rPr>
        <w:t> </w:t>
      </w:r>
      <w:r>
        <w:rPr/>
        <w:t>access</w:t>
      </w:r>
      <w:r>
        <w:rPr>
          <w:spacing w:val="-6"/>
        </w:rPr>
        <w:t> </w:t>
      </w:r>
      <w:r>
        <w:rPr/>
        <w:t>standards,</w:t>
      </w:r>
      <w:r>
        <w:rPr>
          <w:spacing w:val="-3"/>
        </w:rPr>
        <w:t> </w:t>
      </w:r>
      <w:r>
        <w:rPr/>
        <w:t>is</w:t>
      </w:r>
      <w:r>
        <w:rPr>
          <w:spacing w:val="-6"/>
        </w:rPr>
        <w:t> </w:t>
      </w:r>
      <w:r>
        <w:rPr/>
        <w:t>central</w:t>
      </w:r>
      <w:r>
        <w:rPr>
          <w:spacing w:val="-3"/>
        </w:rPr>
        <w:t> </w:t>
      </w:r>
      <w:r>
        <w:rPr/>
        <w:t>to</w:t>
      </w:r>
      <w:r>
        <w:rPr>
          <w:spacing w:val="-3"/>
        </w:rPr>
        <w:t> </w:t>
      </w:r>
      <w:r>
        <w:rPr/>
        <w:t>this</w:t>
      </w:r>
      <w:r>
        <w:rPr>
          <w:spacing w:val="-6"/>
        </w:rPr>
        <w:t> </w:t>
      </w:r>
      <w:r>
        <w:rPr/>
        <w:t>purpose.</w:t>
      </w:r>
      <w:r>
        <w:rPr>
          <w:spacing w:val="-5"/>
        </w:rPr>
        <w:t> </w:t>
      </w:r>
      <w:r>
        <w:rPr/>
        <w:t>As</w:t>
      </w:r>
      <w:r>
        <w:rPr>
          <w:spacing w:val="-3"/>
        </w:rPr>
        <w:t> </w:t>
      </w:r>
      <w:r>
        <w:rPr/>
        <w:t>important</w:t>
      </w:r>
      <w:r>
        <w:rPr>
          <w:spacing w:val="-3"/>
        </w:rPr>
        <w:t> </w:t>
      </w:r>
      <w:r>
        <w:rPr/>
        <w:t>is</w:t>
      </w:r>
      <w:r>
        <w:rPr>
          <w:spacing w:val="-3"/>
        </w:rPr>
        <w:t> </w:t>
      </w:r>
      <w:r>
        <w:rPr/>
        <w:t>the requirement that recipients of federal funds undertake careful accessibility planning to remove barriers in existing buildings.</w:t>
      </w:r>
    </w:p>
    <w:p>
      <w:pPr>
        <w:pStyle w:val="BodyText"/>
      </w:pPr>
    </w:p>
    <w:p>
      <w:pPr>
        <w:pStyle w:val="BodyText"/>
        <w:spacing w:before="1"/>
        <w:ind w:left="100" w:right="139"/>
      </w:pPr>
      <w:r>
        <w:rPr/>
        <w:t>Deleting the accessibility standards that have been in place for decades would encourage new construction that is inaccessible to people with disabilities, and at the same</w:t>
      </w:r>
      <w:r>
        <w:rPr>
          <w:spacing w:val="-4"/>
        </w:rPr>
        <w:t> </w:t>
      </w:r>
      <w:r>
        <w:rPr/>
        <w:t>time</w:t>
      </w:r>
      <w:r>
        <w:rPr>
          <w:spacing w:val="-2"/>
        </w:rPr>
        <w:t> </w:t>
      </w:r>
      <w:r>
        <w:rPr/>
        <w:t>would</w:t>
      </w:r>
      <w:r>
        <w:rPr>
          <w:spacing w:val="-2"/>
        </w:rPr>
        <w:t> </w:t>
      </w:r>
      <w:r>
        <w:rPr/>
        <w:t>sow</w:t>
      </w:r>
      <w:r>
        <w:rPr>
          <w:spacing w:val="-5"/>
        </w:rPr>
        <w:t> </w:t>
      </w:r>
      <w:r>
        <w:rPr/>
        <w:t>chaos</w:t>
      </w:r>
      <w:r>
        <w:rPr>
          <w:spacing w:val="-4"/>
        </w:rPr>
        <w:t> </w:t>
      </w:r>
      <w:r>
        <w:rPr/>
        <w:t>for</w:t>
      </w:r>
      <w:r>
        <w:rPr>
          <w:spacing w:val="-2"/>
        </w:rPr>
        <w:t> </w:t>
      </w:r>
      <w:r>
        <w:rPr/>
        <w:t>regulated</w:t>
      </w:r>
      <w:r>
        <w:rPr>
          <w:spacing w:val="-2"/>
        </w:rPr>
        <w:t> </w:t>
      </w:r>
      <w:r>
        <w:rPr/>
        <w:t>entities.</w:t>
      </w:r>
      <w:r>
        <w:rPr>
          <w:spacing w:val="40"/>
        </w:rPr>
        <w:t> </w:t>
      </w:r>
      <w:r>
        <w:rPr/>
        <w:t>The</w:t>
      </w:r>
      <w:r>
        <w:rPr>
          <w:spacing w:val="-4"/>
        </w:rPr>
        <w:t> </w:t>
      </w:r>
      <w:r>
        <w:rPr/>
        <w:t>non-discrimination</w:t>
      </w:r>
      <w:r>
        <w:rPr>
          <w:spacing w:val="-3"/>
        </w:rPr>
        <w:t> </w:t>
      </w:r>
      <w:r>
        <w:rPr/>
        <w:t>requirements of</w:t>
      </w:r>
      <w:r>
        <w:rPr>
          <w:spacing w:val="-4"/>
        </w:rPr>
        <w:t> </w:t>
      </w:r>
      <w:r>
        <w:rPr/>
        <w:t>Section</w:t>
      </w:r>
      <w:r>
        <w:rPr>
          <w:spacing w:val="-5"/>
        </w:rPr>
        <w:t> </w:t>
      </w:r>
      <w:r>
        <w:rPr/>
        <w:t>504</w:t>
      </w:r>
      <w:r>
        <w:rPr>
          <w:spacing w:val="-3"/>
        </w:rPr>
        <w:t> </w:t>
      </w:r>
      <w:r>
        <w:rPr/>
        <w:t>would</w:t>
      </w:r>
      <w:r>
        <w:rPr>
          <w:spacing w:val="-3"/>
        </w:rPr>
        <w:t> </w:t>
      </w:r>
      <w:r>
        <w:rPr/>
        <w:t>still</w:t>
      </w:r>
      <w:r>
        <w:rPr>
          <w:spacing w:val="-4"/>
        </w:rPr>
        <w:t> </w:t>
      </w:r>
      <w:r>
        <w:rPr/>
        <w:t>apply</w:t>
      </w:r>
      <w:r>
        <w:rPr>
          <w:spacing w:val="-3"/>
        </w:rPr>
        <w:t> </w:t>
      </w:r>
      <w:r>
        <w:rPr/>
        <w:t>to</w:t>
      </w:r>
      <w:r>
        <w:rPr>
          <w:spacing w:val="-3"/>
        </w:rPr>
        <w:t> </w:t>
      </w:r>
      <w:r>
        <w:rPr/>
        <w:t>them</w:t>
      </w:r>
      <w:r>
        <w:rPr>
          <w:spacing w:val="-4"/>
        </w:rPr>
        <w:t> </w:t>
      </w:r>
      <w:r>
        <w:rPr/>
        <w:t>even</w:t>
      </w:r>
      <w:r>
        <w:rPr>
          <w:spacing w:val="-3"/>
        </w:rPr>
        <w:t> </w:t>
      </w:r>
      <w:r>
        <w:rPr/>
        <w:t>in</w:t>
      </w:r>
      <w:r>
        <w:rPr>
          <w:spacing w:val="-3"/>
        </w:rPr>
        <w:t> </w:t>
      </w:r>
      <w:r>
        <w:rPr/>
        <w:t>the</w:t>
      </w:r>
      <w:r>
        <w:rPr>
          <w:spacing w:val="-3"/>
        </w:rPr>
        <w:t> </w:t>
      </w:r>
      <w:r>
        <w:rPr/>
        <w:t>absence</w:t>
      </w:r>
      <w:r>
        <w:rPr>
          <w:spacing w:val="-3"/>
        </w:rPr>
        <w:t> </w:t>
      </w:r>
      <w:r>
        <w:rPr/>
        <w:t>of</w:t>
      </w:r>
      <w:r>
        <w:rPr>
          <w:spacing w:val="-5"/>
        </w:rPr>
        <w:t> </w:t>
      </w:r>
      <w:r>
        <w:rPr/>
        <w:t>regulatory</w:t>
      </w:r>
      <w:r>
        <w:rPr>
          <w:spacing w:val="-3"/>
        </w:rPr>
        <w:t> </w:t>
      </w:r>
      <w:r>
        <w:rPr/>
        <w:t>standards,</w:t>
      </w:r>
      <w:r>
        <w:rPr>
          <w:spacing w:val="-3"/>
        </w:rPr>
        <w:t> </w:t>
      </w:r>
      <w:r>
        <w:rPr/>
        <w:t>but they would now face uncertainty about how to comply and what standards would be sufficient to achieve compliance with the law. Indeed, it is possible that courts could</w:t>
      </w:r>
      <w:r>
        <w:rPr>
          <w:spacing w:val="40"/>
        </w:rPr>
        <w:t> </w:t>
      </w:r>
      <w:r>
        <w:rPr/>
        <w:t>hold them to more stringent standards than those deleted from the rules.</w:t>
      </w:r>
    </w:p>
    <w:p>
      <w:pPr>
        <w:pStyle w:val="BodyText"/>
      </w:pPr>
    </w:p>
    <w:p>
      <w:pPr>
        <w:pStyle w:val="Heading1"/>
        <w:rPr>
          <w:u w:val="none"/>
        </w:rPr>
      </w:pPr>
      <w:r>
        <w:rPr>
          <w:u w:val="single"/>
        </w:rPr>
        <w:t>The</w:t>
      </w:r>
      <w:r>
        <w:rPr>
          <w:spacing w:val="-3"/>
          <w:u w:val="single"/>
        </w:rPr>
        <w:t> </w:t>
      </w:r>
      <w:r>
        <w:rPr>
          <w:u w:val="single"/>
        </w:rPr>
        <w:t>Rules</w:t>
      </w:r>
      <w:r>
        <w:rPr>
          <w:spacing w:val="-5"/>
          <w:u w:val="single"/>
        </w:rPr>
        <w:t> </w:t>
      </w:r>
      <w:r>
        <w:rPr>
          <w:u w:val="single"/>
        </w:rPr>
        <w:t>are</w:t>
      </w:r>
      <w:r>
        <w:rPr>
          <w:spacing w:val="-2"/>
          <w:u w:val="single"/>
        </w:rPr>
        <w:t> </w:t>
      </w:r>
      <w:r>
        <w:rPr>
          <w:u w:val="single"/>
        </w:rPr>
        <w:t>Contrary</w:t>
      </w:r>
      <w:r>
        <w:rPr>
          <w:spacing w:val="-3"/>
          <w:u w:val="single"/>
        </w:rPr>
        <w:t> </w:t>
      </w:r>
      <w:r>
        <w:rPr>
          <w:u w:val="single"/>
        </w:rPr>
        <w:t>to</w:t>
      </w:r>
      <w:r>
        <w:rPr>
          <w:spacing w:val="-3"/>
          <w:u w:val="single"/>
        </w:rPr>
        <w:t> </w:t>
      </w:r>
      <w:r>
        <w:rPr>
          <w:u w:val="single"/>
        </w:rPr>
        <w:t>Congress’s</w:t>
      </w:r>
      <w:r>
        <w:rPr>
          <w:spacing w:val="-2"/>
          <w:u w:val="single"/>
        </w:rPr>
        <w:t> Intent</w:t>
      </w:r>
    </w:p>
    <w:p>
      <w:pPr>
        <w:pStyle w:val="BodyText"/>
        <w:rPr>
          <w:b/>
        </w:rPr>
      </w:pPr>
    </w:p>
    <w:p>
      <w:pPr>
        <w:pStyle w:val="BodyText"/>
        <w:ind w:left="100" w:right="141"/>
      </w:pPr>
      <w:r>
        <w:rPr/>
        <w:t>Further, removing the provisions slated for elimination by the Direct Final Rules is contrary to Congress’s intent.</w:t>
      </w:r>
      <w:r>
        <w:rPr>
          <w:spacing w:val="40"/>
        </w:rPr>
        <w:t> </w:t>
      </w:r>
      <w:r>
        <w:rPr/>
        <w:t>These provisions mirror the Section 504 coordination regulations adopted by the Department of Health, Education, and Welfare (HEW) in 1978 as well as HEW’s own regulations adopted in 1977.</w:t>
      </w:r>
      <w:r>
        <w:rPr>
          <w:spacing w:val="40"/>
        </w:rPr>
        <w:t> </w:t>
      </w:r>
      <w:r>
        <w:rPr/>
        <w:t>In adopting the 1977 and 1978 rules, HEW consulted extensively with Congress and engaged in multiple rounds of notice and public comment. The final rules reflected a compromise that is fundamental to Section 504 and the Americans with Disabilities Act:</w:t>
      </w:r>
      <w:r>
        <w:rPr>
          <w:spacing w:val="40"/>
        </w:rPr>
        <w:t> </w:t>
      </w:r>
      <w:r>
        <w:rPr/>
        <w:t>requiring new facilities to be fully accessible as measured by access standards while allowing more flexibility</w:t>
      </w:r>
      <w:r>
        <w:rPr>
          <w:spacing w:val="-3"/>
        </w:rPr>
        <w:t> </w:t>
      </w:r>
      <w:r>
        <w:rPr/>
        <w:t>with</w:t>
      </w:r>
      <w:r>
        <w:rPr>
          <w:spacing w:val="-2"/>
        </w:rPr>
        <w:t> </w:t>
      </w:r>
      <w:r>
        <w:rPr/>
        <w:t>respect</w:t>
      </w:r>
      <w:r>
        <w:rPr>
          <w:spacing w:val="-3"/>
        </w:rPr>
        <w:t> </w:t>
      </w:r>
      <w:r>
        <w:rPr/>
        <w:t>to</w:t>
      </w:r>
      <w:r>
        <w:rPr>
          <w:spacing w:val="-3"/>
        </w:rPr>
        <w:t> </w:t>
      </w:r>
      <w:r>
        <w:rPr/>
        <w:t>existing</w:t>
      </w:r>
      <w:r>
        <w:rPr>
          <w:spacing w:val="-3"/>
        </w:rPr>
        <w:t> </w:t>
      </w:r>
      <w:r>
        <w:rPr/>
        <w:t>buildings.</w:t>
      </w:r>
      <w:r>
        <w:rPr>
          <w:spacing w:val="40"/>
        </w:rPr>
        <w:t> </w:t>
      </w:r>
      <w:r>
        <w:rPr/>
        <w:t>Similar</w:t>
      </w:r>
      <w:r>
        <w:rPr>
          <w:spacing w:val="-3"/>
        </w:rPr>
        <w:t> </w:t>
      </w:r>
      <w:r>
        <w:rPr/>
        <w:t>rules</w:t>
      </w:r>
      <w:r>
        <w:rPr>
          <w:spacing w:val="-3"/>
        </w:rPr>
        <w:t> </w:t>
      </w:r>
      <w:r>
        <w:rPr/>
        <w:t>were</w:t>
      </w:r>
      <w:r>
        <w:rPr>
          <w:spacing w:val="-5"/>
        </w:rPr>
        <w:t> </w:t>
      </w:r>
      <w:r>
        <w:rPr/>
        <w:t>adopted</w:t>
      </w:r>
      <w:r>
        <w:rPr>
          <w:spacing w:val="-3"/>
        </w:rPr>
        <w:t> </w:t>
      </w:r>
      <w:r>
        <w:rPr/>
        <w:t>by</w:t>
      </w:r>
      <w:r>
        <w:rPr>
          <w:spacing w:val="-6"/>
        </w:rPr>
        <w:t> </w:t>
      </w:r>
      <w:r>
        <w:rPr/>
        <w:t>more</w:t>
      </w:r>
      <w:r>
        <w:rPr>
          <w:spacing w:val="-3"/>
        </w:rPr>
        <w:t> </w:t>
      </w:r>
      <w:r>
        <w:rPr/>
        <w:t>than</w:t>
      </w:r>
      <w:r>
        <w:rPr>
          <w:spacing w:val="-5"/>
        </w:rPr>
        <w:t> </w:t>
      </w:r>
      <w:r>
        <w:rPr/>
        <w:t>80 </w:t>
      </w:r>
      <w:r>
        <w:rPr>
          <w:spacing w:val="-2"/>
        </w:rPr>
        <w:t>agencies.</w:t>
      </w:r>
    </w:p>
    <w:p>
      <w:pPr>
        <w:pStyle w:val="BodyText"/>
        <w:spacing w:before="1"/>
      </w:pPr>
    </w:p>
    <w:p>
      <w:pPr>
        <w:pStyle w:val="BodyText"/>
        <w:ind w:left="100" w:right="101"/>
      </w:pPr>
      <w:r>
        <w:rPr/>
        <w:t>Congress has repeatedly reviewed and approved the regulatory standards that DOE now</w:t>
      </w:r>
      <w:r>
        <w:rPr>
          <w:spacing w:val="-3"/>
        </w:rPr>
        <w:t> </w:t>
      </w:r>
      <w:r>
        <w:rPr/>
        <w:t>seeks</w:t>
      </w:r>
      <w:r>
        <w:rPr>
          <w:spacing w:val="-3"/>
        </w:rPr>
        <w:t> </w:t>
      </w:r>
      <w:r>
        <w:rPr/>
        <w:t>to</w:t>
      </w:r>
      <w:r>
        <w:rPr>
          <w:spacing w:val="-5"/>
        </w:rPr>
        <w:t> </w:t>
      </w:r>
      <w:r>
        <w:rPr/>
        <w:t>delete,</w:t>
      </w:r>
      <w:r>
        <w:rPr>
          <w:spacing w:val="-4"/>
        </w:rPr>
        <w:t> </w:t>
      </w:r>
      <w:r>
        <w:rPr/>
        <w:t>giving</w:t>
      </w:r>
      <w:r>
        <w:rPr>
          <w:spacing w:val="-1"/>
        </w:rPr>
        <w:t> </w:t>
      </w:r>
      <w:r>
        <w:rPr/>
        <w:t>them</w:t>
      </w:r>
      <w:r>
        <w:rPr>
          <w:spacing w:val="-3"/>
        </w:rPr>
        <w:t> </w:t>
      </w:r>
      <w:r>
        <w:rPr/>
        <w:t>the</w:t>
      </w:r>
      <w:r>
        <w:rPr>
          <w:spacing w:val="-2"/>
        </w:rPr>
        <w:t> </w:t>
      </w:r>
      <w:r>
        <w:rPr/>
        <w:t>force</w:t>
      </w:r>
      <w:r>
        <w:rPr>
          <w:spacing w:val="-5"/>
        </w:rPr>
        <w:t> </w:t>
      </w:r>
      <w:r>
        <w:rPr/>
        <w:t>of</w:t>
      </w:r>
      <w:r>
        <w:rPr>
          <w:spacing w:val="-4"/>
        </w:rPr>
        <w:t> </w:t>
      </w:r>
      <w:r>
        <w:rPr/>
        <w:t>law. </w:t>
      </w:r>
      <w:r>
        <w:rPr>
          <w:i/>
        </w:rPr>
        <w:t>Consolidated Rail</w:t>
      </w:r>
      <w:r>
        <w:rPr>
          <w:i/>
          <w:spacing w:val="-5"/>
        </w:rPr>
        <w:t> </w:t>
      </w:r>
      <w:r>
        <w:rPr>
          <w:i/>
        </w:rPr>
        <w:t>Corp.</w:t>
      </w:r>
      <w:r>
        <w:rPr>
          <w:i/>
          <w:spacing w:val="-2"/>
        </w:rPr>
        <w:t> </w:t>
      </w:r>
      <w:r>
        <w:rPr>
          <w:i/>
        </w:rPr>
        <w:t>v.</w:t>
      </w:r>
      <w:r>
        <w:rPr>
          <w:i/>
          <w:spacing w:val="-2"/>
        </w:rPr>
        <w:t> </w:t>
      </w:r>
      <w:r>
        <w:rPr>
          <w:i/>
        </w:rPr>
        <w:t>Darrone</w:t>
      </w:r>
      <w:r>
        <w:rPr/>
        <w:t>, 465 U.S. 624, 635 nn.15 &amp; 16 (1984).</w:t>
      </w:r>
      <w:r>
        <w:rPr>
          <w:spacing w:val="40"/>
        </w:rPr>
        <w:t> </w:t>
      </w:r>
      <w:r>
        <w:rPr/>
        <w:t>Federal courts have enforced these rules for decades. Eliminating them would be contrary to Congress’s intent.</w:t>
      </w:r>
    </w:p>
    <w:p>
      <w:pPr>
        <w:spacing w:after="0"/>
        <w:sectPr>
          <w:pgSz w:w="12240" w:h="15840"/>
          <w:pgMar w:header="0" w:footer="827" w:top="1360" w:bottom="1020" w:left="1340" w:right="1340"/>
        </w:sectPr>
      </w:pPr>
    </w:p>
    <w:p>
      <w:pPr>
        <w:pStyle w:val="Heading1"/>
        <w:spacing w:before="81"/>
        <w:ind w:left="479"/>
        <w:rPr>
          <w:u w:val="none"/>
        </w:rPr>
      </w:pPr>
      <w:r>
        <w:rPr>
          <w:u w:val="single"/>
        </w:rPr>
        <w:t>The</w:t>
      </w:r>
      <w:r>
        <w:rPr>
          <w:spacing w:val="-5"/>
          <w:u w:val="single"/>
        </w:rPr>
        <w:t> </w:t>
      </w:r>
      <w:r>
        <w:rPr>
          <w:u w:val="single"/>
        </w:rPr>
        <w:t>Rules</w:t>
      </w:r>
      <w:r>
        <w:rPr>
          <w:spacing w:val="-4"/>
          <w:u w:val="single"/>
        </w:rPr>
        <w:t> </w:t>
      </w:r>
      <w:r>
        <w:rPr>
          <w:u w:val="single"/>
        </w:rPr>
        <w:t>Contravene</w:t>
      </w:r>
      <w:r>
        <w:rPr>
          <w:spacing w:val="-5"/>
          <w:u w:val="single"/>
        </w:rPr>
        <w:t> </w:t>
      </w:r>
      <w:r>
        <w:rPr>
          <w:u w:val="single"/>
        </w:rPr>
        <w:t>Executive</w:t>
      </w:r>
      <w:r>
        <w:rPr>
          <w:spacing w:val="-4"/>
          <w:u w:val="single"/>
        </w:rPr>
        <w:t> </w:t>
      </w:r>
      <w:r>
        <w:rPr>
          <w:u w:val="single"/>
        </w:rPr>
        <w:t>Order</w:t>
      </w:r>
      <w:r>
        <w:rPr>
          <w:spacing w:val="-7"/>
          <w:u w:val="single"/>
        </w:rPr>
        <w:t> </w:t>
      </w:r>
      <w:r>
        <w:rPr>
          <w:spacing w:val="-2"/>
          <w:u w:val="single"/>
        </w:rPr>
        <w:t>12250</w:t>
      </w:r>
    </w:p>
    <w:p>
      <w:pPr>
        <w:pStyle w:val="BodyText"/>
        <w:spacing w:before="276"/>
        <w:ind w:left="100"/>
      </w:pPr>
      <w:r>
        <w:rPr/>
        <w:t>The Direct Final Rules also conflict with Executive Order 12250.</w:t>
      </w:r>
      <w:r>
        <w:rPr>
          <w:spacing w:val="40"/>
        </w:rPr>
        <w:t> </w:t>
      </w:r>
      <w:r>
        <w:rPr/>
        <w:t>That Executive Order required HEW—and now the Department of Justice—to issue regulations necessary to coordinate the implementation of Section 504 across the federal government.</w:t>
      </w:r>
      <w:r>
        <w:rPr>
          <w:spacing w:val="40"/>
        </w:rPr>
        <w:t> </w:t>
      </w:r>
      <w:r>
        <w:rPr/>
        <w:t>It also required each executive agency responsible for implementing Section 504 to issue implementing regulations or guidance consistent with the coordination regulations.</w:t>
      </w:r>
      <w:r>
        <w:rPr>
          <w:spacing w:val="40"/>
        </w:rPr>
        <w:t> </w:t>
      </w:r>
      <w:r>
        <w:rPr/>
        <w:t>By deleting established standards that are required by the coordination regulations and mirrored in more than 80 agencies’ regulations, the Direct Final Rules would undermine Executive Order 12250’s purpose of ensuring consistent implementation of Section 504 across</w:t>
      </w:r>
      <w:r>
        <w:rPr>
          <w:spacing w:val="-3"/>
        </w:rPr>
        <w:t> </w:t>
      </w:r>
      <w:r>
        <w:rPr/>
        <w:t>the</w:t>
      </w:r>
      <w:r>
        <w:rPr>
          <w:spacing w:val="-3"/>
        </w:rPr>
        <w:t> </w:t>
      </w:r>
      <w:r>
        <w:rPr/>
        <w:t>federal</w:t>
      </w:r>
      <w:r>
        <w:rPr>
          <w:spacing w:val="-6"/>
        </w:rPr>
        <w:t> </w:t>
      </w:r>
      <w:r>
        <w:rPr/>
        <w:t>government</w:t>
      </w:r>
      <w:r>
        <w:rPr>
          <w:spacing w:val="-5"/>
        </w:rPr>
        <w:t> </w:t>
      </w:r>
      <w:r>
        <w:rPr/>
        <w:t>and</w:t>
      </w:r>
      <w:r>
        <w:rPr>
          <w:spacing w:val="-5"/>
        </w:rPr>
        <w:t> </w:t>
      </w:r>
      <w:r>
        <w:rPr/>
        <w:t>flout</w:t>
      </w:r>
      <w:r>
        <w:rPr>
          <w:spacing w:val="-3"/>
        </w:rPr>
        <w:t> </w:t>
      </w:r>
      <w:r>
        <w:rPr/>
        <w:t>its</w:t>
      </w:r>
      <w:r>
        <w:rPr>
          <w:spacing w:val="-3"/>
        </w:rPr>
        <w:t> </w:t>
      </w:r>
      <w:r>
        <w:rPr/>
        <w:t>command</w:t>
      </w:r>
      <w:r>
        <w:rPr>
          <w:spacing w:val="-3"/>
        </w:rPr>
        <w:t> </w:t>
      </w:r>
      <w:r>
        <w:rPr/>
        <w:t>that</w:t>
      </w:r>
      <w:r>
        <w:rPr>
          <w:spacing w:val="-5"/>
        </w:rPr>
        <w:t> </w:t>
      </w:r>
      <w:r>
        <w:rPr/>
        <w:t>agencies</w:t>
      </w:r>
      <w:r>
        <w:rPr>
          <w:spacing w:val="-5"/>
        </w:rPr>
        <w:t> </w:t>
      </w:r>
      <w:r>
        <w:rPr/>
        <w:t>act</w:t>
      </w:r>
      <w:r>
        <w:rPr>
          <w:spacing w:val="-3"/>
        </w:rPr>
        <w:t> </w:t>
      </w:r>
      <w:r>
        <w:rPr/>
        <w:t>consistently</w:t>
      </w:r>
      <w:r>
        <w:rPr>
          <w:spacing w:val="-3"/>
        </w:rPr>
        <w:t> </w:t>
      </w:r>
      <w:r>
        <w:rPr/>
        <w:t>with the coordination regulations.</w:t>
      </w:r>
    </w:p>
    <w:p>
      <w:pPr>
        <w:pStyle w:val="BodyText"/>
      </w:pPr>
    </w:p>
    <w:p>
      <w:pPr>
        <w:pStyle w:val="Heading1"/>
        <w:ind w:left="870" w:right="0"/>
        <w:jc w:val="left"/>
        <w:rPr>
          <w:u w:val="none"/>
        </w:rPr>
      </w:pPr>
      <w:r>
        <w:rPr>
          <w:u w:val="single"/>
        </w:rPr>
        <w:t>The</w:t>
      </w:r>
      <w:r>
        <w:rPr>
          <w:spacing w:val="-5"/>
          <w:u w:val="single"/>
        </w:rPr>
        <w:t> </w:t>
      </w:r>
      <w:r>
        <w:rPr>
          <w:u w:val="single"/>
        </w:rPr>
        <w:t>Rules</w:t>
      </w:r>
      <w:r>
        <w:rPr>
          <w:spacing w:val="-5"/>
          <w:u w:val="single"/>
        </w:rPr>
        <w:t> </w:t>
      </w:r>
      <w:r>
        <w:rPr>
          <w:u w:val="single"/>
        </w:rPr>
        <w:t>Would</w:t>
      </w:r>
      <w:r>
        <w:rPr>
          <w:spacing w:val="-4"/>
          <w:u w:val="single"/>
        </w:rPr>
        <w:t> </w:t>
      </w:r>
      <w:r>
        <w:rPr>
          <w:u w:val="single"/>
        </w:rPr>
        <w:t>Undermine</w:t>
      </w:r>
      <w:r>
        <w:rPr>
          <w:spacing w:val="-5"/>
          <w:u w:val="single"/>
        </w:rPr>
        <w:t> </w:t>
      </w:r>
      <w:r>
        <w:rPr>
          <w:u w:val="single"/>
        </w:rPr>
        <w:t>Access</w:t>
      </w:r>
      <w:r>
        <w:rPr>
          <w:spacing w:val="-4"/>
          <w:u w:val="single"/>
        </w:rPr>
        <w:t> </w:t>
      </w:r>
      <w:r>
        <w:rPr>
          <w:u w:val="single"/>
        </w:rPr>
        <w:t>Standards</w:t>
      </w:r>
      <w:r>
        <w:rPr>
          <w:spacing w:val="-5"/>
          <w:u w:val="single"/>
        </w:rPr>
        <w:t> </w:t>
      </w:r>
      <w:r>
        <w:rPr>
          <w:u w:val="single"/>
        </w:rPr>
        <w:t>and</w:t>
      </w:r>
      <w:r>
        <w:rPr>
          <w:spacing w:val="-5"/>
          <w:u w:val="single"/>
        </w:rPr>
        <w:t> </w:t>
      </w:r>
      <w:r>
        <w:rPr>
          <w:u w:val="single"/>
        </w:rPr>
        <w:t>Create</w:t>
      </w:r>
      <w:r>
        <w:rPr>
          <w:spacing w:val="-4"/>
          <w:u w:val="single"/>
        </w:rPr>
        <w:t> </w:t>
      </w:r>
      <w:r>
        <w:rPr>
          <w:spacing w:val="-2"/>
          <w:u w:val="single"/>
        </w:rPr>
        <w:t>Conflicts</w:t>
      </w:r>
    </w:p>
    <w:p>
      <w:pPr>
        <w:pStyle w:val="BodyText"/>
        <w:rPr>
          <w:b/>
        </w:rPr>
      </w:pPr>
    </w:p>
    <w:p>
      <w:pPr>
        <w:pStyle w:val="BodyText"/>
        <w:spacing w:before="1"/>
        <w:ind w:left="100" w:right="127"/>
      </w:pPr>
      <w:r>
        <w:rPr/>
        <w:t>Compliance with access standards in new construction and alterations is critical to advancing the goals of Section 504. The deletion of the regulatory reference to the Uniform Federal Accessibility Standards as a measure of compliance would directly undermine the goals of Section 504. Access standards are key to making new construction and alterations accessible. Architects and contractors need a comprehensive</w:t>
      </w:r>
      <w:r>
        <w:rPr>
          <w:spacing w:val="-3"/>
        </w:rPr>
        <w:t> </w:t>
      </w:r>
      <w:r>
        <w:rPr/>
        <w:t>set</w:t>
      </w:r>
      <w:r>
        <w:rPr>
          <w:spacing w:val="-3"/>
        </w:rPr>
        <w:t> </w:t>
      </w:r>
      <w:r>
        <w:rPr/>
        <w:t>of</w:t>
      </w:r>
      <w:r>
        <w:rPr>
          <w:spacing w:val="-7"/>
        </w:rPr>
        <w:t> </w:t>
      </w:r>
      <w:r>
        <w:rPr/>
        <w:t>design</w:t>
      </w:r>
      <w:r>
        <w:rPr>
          <w:spacing w:val="-4"/>
        </w:rPr>
        <w:t> </w:t>
      </w:r>
      <w:r>
        <w:rPr/>
        <w:t>rules</w:t>
      </w:r>
      <w:r>
        <w:rPr>
          <w:spacing w:val="-3"/>
        </w:rPr>
        <w:t> </w:t>
      </w:r>
      <w:r>
        <w:rPr/>
        <w:t>to</w:t>
      </w:r>
      <w:r>
        <w:rPr>
          <w:spacing w:val="-3"/>
        </w:rPr>
        <w:t> </w:t>
      </w:r>
      <w:r>
        <w:rPr/>
        <w:t>ensure</w:t>
      </w:r>
      <w:r>
        <w:rPr>
          <w:spacing w:val="-5"/>
        </w:rPr>
        <w:t> </w:t>
      </w:r>
      <w:r>
        <w:rPr/>
        <w:t>that</w:t>
      </w:r>
      <w:r>
        <w:rPr>
          <w:spacing w:val="-5"/>
        </w:rPr>
        <w:t> </w:t>
      </w:r>
      <w:r>
        <w:rPr/>
        <w:t>new</w:t>
      </w:r>
      <w:r>
        <w:rPr>
          <w:spacing w:val="-3"/>
        </w:rPr>
        <w:t> </w:t>
      </w:r>
      <w:r>
        <w:rPr/>
        <w:t>construction</w:t>
      </w:r>
      <w:r>
        <w:rPr>
          <w:spacing w:val="-5"/>
        </w:rPr>
        <w:t> </w:t>
      </w:r>
      <w:r>
        <w:rPr/>
        <w:t>and</w:t>
      </w:r>
      <w:r>
        <w:rPr>
          <w:spacing w:val="-5"/>
        </w:rPr>
        <w:t> </w:t>
      </w:r>
      <w:r>
        <w:rPr/>
        <w:t>alterations</w:t>
      </w:r>
      <w:r>
        <w:rPr>
          <w:spacing w:val="-5"/>
        </w:rPr>
        <w:t> </w:t>
      </w:r>
      <w:r>
        <w:rPr/>
        <w:t>are built to be fully accessible to people with disabilities. Accessibility is often a matter of inches, making the difference between inclusion and exclusion of people with disabilities. Without access standards, we will never reach the fully inclusive society intended by Congress in enacting and reenacting Section 504.</w:t>
      </w:r>
    </w:p>
    <w:p>
      <w:pPr>
        <w:pStyle w:val="BodyText"/>
      </w:pPr>
    </w:p>
    <w:p>
      <w:pPr>
        <w:pStyle w:val="BodyText"/>
        <w:ind w:left="100"/>
      </w:pPr>
      <w:r>
        <w:rPr/>
        <w:t>The rules would also create conflicting enforcement standards: recipients of federal financial</w:t>
      </w:r>
      <w:r>
        <w:rPr>
          <w:spacing w:val="-5"/>
        </w:rPr>
        <w:t> </w:t>
      </w:r>
      <w:r>
        <w:rPr/>
        <w:t>assistance</w:t>
      </w:r>
      <w:r>
        <w:rPr>
          <w:spacing w:val="-3"/>
        </w:rPr>
        <w:t> </w:t>
      </w:r>
      <w:r>
        <w:rPr/>
        <w:t>from</w:t>
      </w:r>
      <w:r>
        <w:rPr>
          <w:spacing w:val="-2"/>
        </w:rPr>
        <w:t> </w:t>
      </w:r>
      <w:r>
        <w:rPr/>
        <w:t>the</w:t>
      </w:r>
      <w:r>
        <w:rPr>
          <w:spacing w:val="-3"/>
        </w:rPr>
        <w:t> </w:t>
      </w:r>
      <w:r>
        <w:rPr/>
        <w:t>DOE</w:t>
      </w:r>
      <w:r>
        <w:rPr>
          <w:spacing w:val="-5"/>
        </w:rPr>
        <w:t> </w:t>
      </w:r>
      <w:r>
        <w:rPr/>
        <w:t>include</w:t>
      </w:r>
      <w:r>
        <w:rPr>
          <w:spacing w:val="-5"/>
        </w:rPr>
        <w:t> </w:t>
      </w:r>
      <w:r>
        <w:rPr/>
        <w:t>many</w:t>
      </w:r>
      <w:r>
        <w:rPr>
          <w:spacing w:val="-3"/>
        </w:rPr>
        <w:t> </w:t>
      </w:r>
      <w:r>
        <w:rPr/>
        <w:t>entities</w:t>
      </w:r>
      <w:r>
        <w:rPr>
          <w:spacing w:val="-3"/>
        </w:rPr>
        <w:t> </w:t>
      </w:r>
      <w:r>
        <w:rPr/>
        <w:t>that</w:t>
      </w:r>
      <w:r>
        <w:rPr>
          <w:spacing w:val="-3"/>
        </w:rPr>
        <w:t> </w:t>
      </w:r>
      <w:r>
        <w:rPr/>
        <w:t>receive</w:t>
      </w:r>
      <w:r>
        <w:rPr>
          <w:spacing w:val="-5"/>
        </w:rPr>
        <w:t> </w:t>
      </w:r>
      <w:r>
        <w:rPr/>
        <w:t>funding</w:t>
      </w:r>
      <w:r>
        <w:rPr>
          <w:spacing w:val="-3"/>
        </w:rPr>
        <w:t> </w:t>
      </w:r>
      <w:r>
        <w:rPr/>
        <w:t>from</w:t>
      </w:r>
      <w:r>
        <w:rPr>
          <w:spacing w:val="-4"/>
        </w:rPr>
        <w:t> </w:t>
      </w:r>
      <w:r>
        <w:rPr/>
        <w:t>other federal departments and agencies, and/or that are subject to the requirements of the ADA. These recipients would be required to comply with access standards due to their other funding or under the ADA, but would remain open to liability under the general nondiscrimination language at section 1040.71.</w:t>
      </w:r>
    </w:p>
    <w:p>
      <w:pPr>
        <w:pStyle w:val="BodyText"/>
      </w:pPr>
    </w:p>
    <w:p>
      <w:pPr>
        <w:pStyle w:val="Heading1"/>
        <w:rPr>
          <w:u w:val="none"/>
        </w:rPr>
      </w:pPr>
      <w:r>
        <w:rPr>
          <w:u w:val="single"/>
        </w:rPr>
        <w:t>The</w:t>
      </w:r>
      <w:r>
        <w:rPr>
          <w:spacing w:val="-3"/>
          <w:u w:val="single"/>
        </w:rPr>
        <w:t> </w:t>
      </w:r>
      <w:r>
        <w:rPr>
          <w:u w:val="single"/>
        </w:rPr>
        <w:t>Rulemaking</w:t>
      </w:r>
      <w:r>
        <w:rPr>
          <w:spacing w:val="-2"/>
          <w:u w:val="single"/>
        </w:rPr>
        <w:t> </w:t>
      </w:r>
      <w:r>
        <w:rPr>
          <w:u w:val="single"/>
        </w:rPr>
        <w:t>is</w:t>
      </w:r>
      <w:r>
        <w:rPr>
          <w:spacing w:val="-5"/>
          <w:u w:val="single"/>
        </w:rPr>
        <w:t> </w:t>
      </w:r>
      <w:r>
        <w:rPr>
          <w:u w:val="single"/>
        </w:rPr>
        <w:t>Unlawful</w:t>
      </w:r>
      <w:r>
        <w:rPr>
          <w:spacing w:val="-2"/>
          <w:u w:val="single"/>
        </w:rPr>
        <w:t> </w:t>
      </w:r>
      <w:r>
        <w:rPr>
          <w:u w:val="single"/>
        </w:rPr>
        <w:t>and</w:t>
      </w:r>
      <w:r>
        <w:rPr>
          <w:spacing w:val="-2"/>
          <w:u w:val="single"/>
        </w:rPr>
        <w:t> </w:t>
      </w:r>
      <w:r>
        <w:rPr>
          <w:u w:val="single"/>
        </w:rPr>
        <w:t>Must</w:t>
      </w:r>
      <w:r>
        <w:rPr>
          <w:spacing w:val="-3"/>
          <w:u w:val="single"/>
        </w:rPr>
        <w:t> </w:t>
      </w:r>
      <w:r>
        <w:rPr>
          <w:u w:val="single"/>
        </w:rPr>
        <w:t>Be</w:t>
      </w:r>
      <w:r>
        <w:rPr>
          <w:spacing w:val="-4"/>
          <w:u w:val="single"/>
        </w:rPr>
        <w:t> </w:t>
      </w:r>
      <w:r>
        <w:rPr>
          <w:spacing w:val="-2"/>
          <w:u w:val="single"/>
        </w:rPr>
        <w:t>Withdrawn</w:t>
      </w:r>
    </w:p>
    <w:p>
      <w:pPr>
        <w:pStyle w:val="BodyText"/>
        <w:rPr>
          <w:b/>
        </w:rPr>
      </w:pPr>
    </w:p>
    <w:p>
      <w:pPr>
        <w:pStyle w:val="BodyText"/>
        <w:ind w:left="100" w:right="101"/>
      </w:pPr>
      <w:r>
        <w:rPr/>
        <w:t>The careful compromise reached by agencies and Congress – to require that new construction and</w:t>
      </w:r>
      <w:r>
        <w:rPr>
          <w:spacing w:val="-1"/>
        </w:rPr>
        <w:t> </w:t>
      </w:r>
      <w:r>
        <w:rPr/>
        <w:t>alteration be fully accessible, while imposing a more flexible</w:t>
      </w:r>
      <w:r>
        <w:rPr>
          <w:spacing w:val="-1"/>
        </w:rPr>
        <w:t> </w:t>
      </w:r>
      <w:r>
        <w:rPr/>
        <w:t>standard for</w:t>
      </w:r>
      <w:r>
        <w:rPr>
          <w:spacing w:val="-2"/>
        </w:rPr>
        <w:t> </w:t>
      </w:r>
      <w:r>
        <w:rPr/>
        <w:t>existing</w:t>
      </w:r>
      <w:r>
        <w:rPr>
          <w:spacing w:val="-3"/>
        </w:rPr>
        <w:t> </w:t>
      </w:r>
      <w:r>
        <w:rPr/>
        <w:t>facilities</w:t>
      </w:r>
      <w:r>
        <w:rPr>
          <w:spacing w:val="-3"/>
        </w:rPr>
        <w:t> </w:t>
      </w:r>
      <w:r>
        <w:rPr/>
        <w:t>–</w:t>
      </w:r>
      <w:r>
        <w:rPr>
          <w:spacing w:val="-3"/>
        </w:rPr>
        <w:t> </w:t>
      </w:r>
      <w:r>
        <w:rPr/>
        <w:t>would</w:t>
      </w:r>
      <w:r>
        <w:rPr>
          <w:spacing w:val="-2"/>
        </w:rPr>
        <w:t> </w:t>
      </w:r>
      <w:r>
        <w:rPr/>
        <w:t>be</w:t>
      </w:r>
      <w:r>
        <w:rPr>
          <w:spacing w:val="-2"/>
        </w:rPr>
        <w:t> </w:t>
      </w:r>
      <w:r>
        <w:rPr/>
        <w:t>destroyed</w:t>
      </w:r>
      <w:r>
        <w:rPr>
          <w:spacing w:val="-2"/>
        </w:rPr>
        <w:t> </w:t>
      </w:r>
      <w:r>
        <w:rPr/>
        <w:t>by</w:t>
      </w:r>
      <w:r>
        <w:rPr>
          <w:spacing w:val="-5"/>
        </w:rPr>
        <w:t> </w:t>
      </w:r>
      <w:r>
        <w:rPr/>
        <w:t>the</w:t>
      </w:r>
      <w:r>
        <w:rPr>
          <w:spacing w:val="-4"/>
        </w:rPr>
        <w:t> </w:t>
      </w:r>
      <w:r>
        <w:rPr/>
        <w:t>proposed</w:t>
      </w:r>
      <w:r>
        <w:rPr>
          <w:spacing w:val="-4"/>
        </w:rPr>
        <w:t> </w:t>
      </w:r>
      <w:r>
        <w:rPr/>
        <w:t>“direct</w:t>
      </w:r>
      <w:r>
        <w:rPr>
          <w:spacing w:val="-2"/>
        </w:rPr>
        <w:t> </w:t>
      </w:r>
      <w:r>
        <w:rPr/>
        <w:t>final</w:t>
      </w:r>
      <w:r>
        <w:rPr>
          <w:spacing w:val="-2"/>
        </w:rPr>
        <w:t> </w:t>
      </w:r>
      <w:r>
        <w:rPr/>
        <w:t>rules.”</w:t>
      </w:r>
      <w:r>
        <w:rPr>
          <w:spacing w:val="-2"/>
        </w:rPr>
        <w:t> </w:t>
      </w:r>
      <w:r>
        <w:rPr/>
        <w:t>Ensuring that new construction and alterations are fully accessible to people with disabilities is critical to advancing the goals of Section 504 of the Rehabilitation Act.</w:t>
      </w:r>
    </w:p>
    <w:p>
      <w:pPr>
        <w:pStyle w:val="BodyText"/>
        <w:spacing w:before="1"/>
      </w:pPr>
    </w:p>
    <w:p>
      <w:pPr>
        <w:pStyle w:val="BodyText"/>
        <w:ind w:left="100"/>
      </w:pPr>
      <w:r>
        <w:rPr/>
        <w:t>The</w:t>
      </w:r>
      <w:r>
        <w:rPr>
          <w:spacing w:val="-3"/>
        </w:rPr>
        <w:t> </w:t>
      </w:r>
      <w:r>
        <w:rPr/>
        <w:t>rulemaking</w:t>
      </w:r>
      <w:r>
        <w:rPr>
          <w:spacing w:val="-2"/>
        </w:rPr>
        <w:t> </w:t>
      </w:r>
      <w:r>
        <w:rPr/>
        <w:t>is</w:t>
      </w:r>
      <w:r>
        <w:rPr>
          <w:spacing w:val="-3"/>
        </w:rPr>
        <w:t> </w:t>
      </w:r>
      <w:r>
        <w:rPr/>
        <w:t>unlawful</w:t>
      </w:r>
      <w:r>
        <w:rPr>
          <w:spacing w:val="-2"/>
        </w:rPr>
        <w:t> </w:t>
      </w:r>
      <w:r>
        <w:rPr/>
        <w:t>and</w:t>
      </w:r>
      <w:r>
        <w:rPr>
          <w:spacing w:val="-3"/>
        </w:rPr>
        <w:t> </w:t>
      </w:r>
      <w:r>
        <w:rPr/>
        <w:t>must</w:t>
      </w:r>
      <w:r>
        <w:rPr>
          <w:spacing w:val="-4"/>
        </w:rPr>
        <w:t> </w:t>
      </w:r>
      <w:r>
        <w:rPr/>
        <w:t>be</w:t>
      </w:r>
      <w:r>
        <w:rPr>
          <w:spacing w:val="-2"/>
        </w:rPr>
        <w:t> withdrawn.</w:t>
      </w:r>
    </w:p>
    <w:p>
      <w:pPr>
        <w:spacing w:after="0"/>
        <w:sectPr>
          <w:pgSz w:w="12240" w:h="15840"/>
          <w:pgMar w:header="0" w:footer="827" w:top="1360" w:bottom="1020" w:left="1340" w:right="1340"/>
        </w:sectPr>
      </w:pPr>
    </w:p>
    <w:p>
      <w:pPr>
        <w:pStyle w:val="BodyText"/>
        <w:spacing w:before="81"/>
        <w:ind w:left="100"/>
      </w:pPr>
      <w:r>
        <w:rPr>
          <w:spacing w:val="-2"/>
        </w:rPr>
        <w:t>Sincerely,</w:t>
      </w:r>
    </w:p>
    <w:p>
      <w:pPr>
        <w:tabs>
          <w:tab w:pos="4501" w:val="left" w:leader="none"/>
        </w:tabs>
        <w:spacing w:line="240" w:lineRule="auto"/>
        <w:ind w:left="157" w:right="0" w:firstLine="0"/>
        <w:rPr>
          <w:sz w:val="20"/>
        </w:rPr>
      </w:pPr>
      <w:r>
        <w:rPr>
          <w:position w:val="6"/>
          <w:sz w:val="20"/>
        </w:rPr>
        <w:drawing>
          <wp:inline distT="0" distB="0" distL="0" distR="0">
            <wp:extent cx="1956710" cy="609600"/>
            <wp:effectExtent l="0" t="0" r="0" b="0"/>
            <wp:docPr id="3" name="Image 3" descr="A picture containing insect  Description automatically generated"/>
            <wp:cNvGraphicFramePr>
              <a:graphicFrameLocks/>
            </wp:cNvGraphicFramePr>
            <a:graphic>
              <a:graphicData uri="http://schemas.openxmlformats.org/drawingml/2006/picture">
                <pic:pic>
                  <pic:nvPicPr>
                    <pic:cNvPr id="3" name="Image 3" descr="A picture containing insect  Description automatically generated"/>
                    <pic:cNvPicPr/>
                  </pic:nvPicPr>
                  <pic:blipFill>
                    <a:blip r:embed="rId13" cstate="print"/>
                    <a:stretch>
                      <a:fillRect/>
                    </a:stretch>
                  </pic:blipFill>
                  <pic:spPr>
                    <a:xfrm>
                      <a:off x="0" y="0"/>
                      <a:ext cx="1956710" cy="609600"/>
                    </a:xfrm>
                    <a:prstGeom prst="rect">
                      <a:avLst/>
                    </a:prstGeom>
                  </pic:spPr>
                </pic:pic>
              </a:graphicData>
            </a:graphic>
          </wp:inline>
        </w:drawing>
      </w:r>
      <w:r>
        <w:rPr>
          <w:position w:val="6"/>
          <w:sz w:val="20"/>
        </w:rPr>
      </w:r>
      <w:r>
        <w:rPr>
          <w:position w:val="6"/>
          <w:sz w:val="20"/>
        </w:rPr>
        <w:tab/>
      </w:r>
      <w:r>
        <w:rPr>
          <w:sz w:val="20"/>
        </w:rPr>
        <w:drawing>
          <wp:inline distT="0" distB="0" distL="0" distR="0">
            <wp:extent cx="2484940" cy="793432"/>
            <wp:effectExtent l="0" t="0" r="0" b="0"/>
            <wp:docPr id="4" name="Image 4" descr="A signature on a white background  AI-generated content may be incorrect."/>
            <wp:cNvGraphicFramePr>
              <a:graphicFrameLocks/>
            </wp:cNvGraphicFramePr>
            <a:graphic>
              <a:graphicData uri="http://schemas.openxmlformats.org/drawingml/2006/picture">
                <pic:pic>
                  <pic:nvPicPr>
                    <pic:cNvPr id="4" name="Image 4" descr="A signature on a white background  AI-generated content may be incorrect."/>
                    <pic:cNvPicPr/>
                  </pic:nvPicPr>
                  <pic:blipFill>
                    <a:blip r:embed="rId14" cstate="print"/>
                    <a:stretch>
                      <a:fillRect/>
                    </a:stretch>
                  </pic:blipFill>
                  <pic:spPr>
                    <a:xfrm>
                      <a:off x="0" y="0"/>
                      <a:ext cx="2484940" cy="793432"/>
                    </a:xfrm>
                    <a:prstGeom prst="rect">
                      <a:avLst/>
                    </a:prstGeom>
                  </pic:spPr>
                </pic:pic>
              </a:graphicData>
            </a:graphic>
          </wp:inline>
        </w:drawing>
      </w:r>
      <w:r>
        <w:rPr>
          <w:sz w:val="20"/>
        </w:rPr>
      </w:r>
    </w:p>
    <w:p>
      <w:pPr>
        <w:pStyle w:val="BodyText"/>
        <w:spacing w:before="37"/>
        <w:rPr>
          <w:sz w:val="20"/>
        </w:rPr>
      </w:pPr>
      <w:r>
        <w:rPr/>
        <mc:AlternateContent>
          <mc:Choice Requires="wps">
            <w:drawing>
              <wp:anchor distT="0" distB="0" distL="0" distR="0" allowOverlap="1" layoutInCell="1" locked="0" behindDoc="1" simplePos="0" relativeHeight="487587840">
                <wp:simplePos x="0" y="0"/>
                <wp:positionH relativeFrom="page">
                  <wp:posOffset>914704</wp:posOffset>
                </wp:positionH>
                <wp:positionV relativeFrom="paragraph">
                  <wp:posOffset>184916</wp:posOffset>
                </wp:positionV>
                <wp:extent cx="2332355"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2332355" cy="1270"/>
                        </a:xfrm>
                        <a:custGeom>
                          <a:avLst/>
                          <a:gdLst/>
                          <a:ahLst/>
                          <a:cxnLst/>
                          <a:rect l="l" t="t" r="r" b="b"/>
                          <a:pathLst>
                            <a:path w="2332355" h="0">
                              <a:moveTo>
                                <a:pt x="0" y="0"/>
                              </a:moveTo>
                              <a:lnTo>
                                <a:pt x="2331735"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14.560369pt;width:183.65pt;height:.1pt;mso-position-horizontal-relative:page;mso-position-vertical-relative:paragraph;z-index:-15728640;mso-wrap-distance-left:0;mso-wrap-distance-right:0" id="docshape2" coordorigin="1440,291" coordsize="3673,0" path="m1440,291l5113,291e" filled="false" stroked="true" strokeweight=".6955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88352">
                <wp:simplePos x="0" y="0"/>
                <wp:positionH relativeFrom="page">
                  <wp:posOffset>3658234</wp:posOffset>
                </wp:positionH>
                <wp:positionV relativeFrom="paragraph">
                  <wp:posOffset>184916</wp:posOffset>
                </wp:positionV>
                <wp:extent cx="2798445"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2798445" cy="1270"/>
                        </a:xfrm>
                        <a:custGeom>
                          <a:avLst/>
                          <a:gdLst/>
                          <a:ahLst/>
                          <a:cxnLst/>
                          <a:rect l="l" t="t" r="r" b="b"/>
                          <a:pathLst>
                            <a:path w="2798445" h="0">
                              <a:moveTo>
                                <a:pt x="0" y="0"/>
                              </a:moveTo>
                              <a:lnTo>
                                <a:pt x="279808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8.049988pt;margin-top:14.560369pt;width:220.35pt;height:.1pt;mso-position-horizontal-relative:page;mso-position-vertical-relative:paragraph;z-index:-15728128;mso-wrap-distance-left:0;mso-wrap-distance-right:0" id="docshape3" coordorigin="5761,291" coordsize="4407,0" path="m5761,291l10167,291e" filled="false" stroked="true" strokeweight=".69552pt" strokecolor="#000000">
                <v:path arrowok="t"/>
                <v:stroke dashstyle="solid"/>
                <w10:wrap type="topAndBottom"/>
              </v:shape>
            </w:pict>
          </mc:Fallback>
        </mc:AlternateContent>
      </w:r>
    </w:p>
    <w:p>
      <w:pPr>
        <w:pStyle w:val="BodyText"/>
        <w:tabs>
          <w:tab w:pos="4420" w:val="left" w:leader="none"/>
        </w:tabs>
        <w:spacing w:before="40"/>
        <w:ind w:left="100"/>
      </w:pPr>
      <w:r>
        <w:rPr/>
        <w:t>Jennifer</w:t>
      </w:r>
      <w:r>
        <w:rPr>
          <w:spacing w:val="-4"/>
        </w:rPr>
        <w:t> </w:t>
      </w:r>
      <w:r>
        <w:rPr>
          <w:spacing w:val="-2"/>
        </w:rPr>
        <w:t>Mathis</w:t>
      </w:r>
      <w:r>
        <w:rPr/>
        <w:tab/>
        <w:t>Claudia</w:t>
      </w:r>
      <w:r>
        <w:rPr>
          <w:spacing w:val="-6"/>
        </w:rPr>
        <w:t> </w:t>
      </w:r>
      <w:r>
        <w:rPr>
          <w:spacing w:val="-2"/>
        </w:rPr>
        <w:t>Center</w:t>
      </w:r>
    </w:p>
    <w:p>
      <w:pPr>
        <w:pStyle w:val="BodyText"/>
        <w:tabs>
          <w:tab w:pos="4420" w:val="left" w:leader="none"/>
        </w:tabs>
        <w:spacing w:before="41"/>
        <w:ind w:left="100"/>
      </w:pPr>
      <w:r>
        <w:rPr/>
        <w:t>Bazelon</w:t>
      </w:r>
      <w:r>
        <w:rPr>
          <w:spacing w:val="-5"/>
        </w:rPr>
        <w:t> </w:t>
      </w:r>
      <w:r>
        <w:rPr/>
        <w:t>Center</w:t>
      </w:r>
      <w:r>
        <w:rPr>
          <w:spacing w:val="-4"/>
        </w:rPr>
        <w:t> </w:t>
      </w:r>
      <w:r>
        <w:rPr/>
        <w:t>for</w:t>
      </w:r>
      <w:r>
        <w:rPr>
          <w:spacing w:val="-5"/>
        </w:rPr>
        <w:t> </w:t>
      </w:r>
      <w:r>
        <w:rPr/>
        <w:t>Mental</w:t>
      </w:r>
      <w:r>
        <w:rPr>
          <w:spacing w:val="-4"/>
        </w:rPr>
        <w:t> </w:t>
      </w:r>
      <w:r>
        <w:rPr/>
        <w:t>Health</w:t>
      </w:r>
      <w:r>
        <w:rPr>
          <w:spacing w:val="-5"/>
        </w:rPr>
        <w:t> Law</w:t>
      </w:r>
      <w:r>
        <w:rPr/>
        <w:tab/>
        <w:t>Disability</w:t>
      </w:r>
      <w:r>
        <w:rPr>
          <w:spacing w:val="-6"/>
        </w:rPr>
        <w:t> </w:t>
      </w:r>
      <w:r>
        <w:rPr/>
        <w:t>Rights</w:t>
      </w:r>
      <w:r>
        <w:rPr>
          <w:spacing w:val="-5"/>
        </w:rPr>
        <w:t> </w:t>
      </w:r>
      <w:r>
        <w:rPr/>
        <w:t>Education</w:t>
      </w:r>
      <w:r>
        <w:rPr>
          <w:spacing w:val="-5"/>
        </w:rPr>
        <w:t> </w:t>
      </w:r>
      <w:r>
        <w:rPr/>
        <w:t>and</w:t>
      </w:r>
      <w:r>
        <w:rPr>
          <w:spacing w:val="-6"/>
        </w:rPr>
        <w:t> </w:t>
      </w:r>
      <w:r>
        <w:rPr/>
        <w:t>Defense</w:t>
      </w:r>
      <w:r>
        <w:rPr>
          <w:spacing w:val="-5"/>
        </w:rPr>
        <w:t> </w:t>
      </w:r>
      <w:r>
        <w:rPr>
          <w:spacing w:val="-4"/>
        </w:rPr>
        <w:t>Fund</w:t>
      </w:r>
    </w:p>
    <w:p>
      <w:pPr>
        <w:pStyle w:val="BodyText"/>
        <w:rPr>
          <w:sz w:val="20"/>
        </w:rPr>
      </w:pPr>
    </w:p>
    <w:p>
      <w:pPr>
        <w:pStyle w:val="BodyText"/>
        <w:rPr>
          <w:sz w:val="20"/>
        </w:rPr>
      </w:pPr>
    </w:p>
    <w:p>
      <w:pPr>
        <w:pStyle w:val="BodyText"/>
        <w:rPr>
          <w:sz w:val="20"/>
        </w:rPr>
      </w:pPr>
    </w:p>
    <w:p>
      <w:pPr>
        <w:pStyle w:val="BodyText"/>
        <w:spacing w:before="200"/>
        <w:rPr>
          <w:sz w:val="20"/>
        </w:rPr>
      </w:pPr>
      <w:r>
        <w:rPr/>
        <w:drawing>
          <wp:anchor distT="0" distB="0" distL="0" distR="0" allowOverlap="1" layoutInCell="1" locked="0" behindDoc="1" simplePos="0" relativeHeight="487588864">
            <wp:simplePos x="0" y="0"/>
            <wp:positionH relativeFrom="page">
              <wp:posOffset>945916</wp:posOffset>
            </wp:positionH>
            <wp:positionV relativeFrom="paragraph">
              <wp:posOffset>388392</wp:posOffset>
            </wp:positionV>
            <wp:extent cx="2041507" cy="335851"/>
            <wp:effectExtent l="0" t="0" r="0" b="0"/>
            <wp:wrapTopAndBottom/>
            <wp:docPr id="7" name="Image 7" descr="Text  Description automatically generated"/>
            <wp:cNvGraphicFramePr>
              <a:graphicFrameLocks/>
            </wp:cNvGraphicFramePr>
            <a:graphic>
              <a:graphicData uri="http://schemas.openxmlformats.org/drawingml/2006/picture">
                <pic:pic>
                  <pic:nvPicPr>
                    <pic:cNvPr id="7" name="Image 7" descr="Text  Description automatically generated"/>
                    <pic:cNvPicPr/>
                  </pic:nvPicPr>
                  <pic:blipFill>
                    <a:blip r:embed="rId15" cstate="print"/>
                    <a:stretch>
                      <a:fillRect/>
                    </a:stretch>
                  </pic:blipFill>
                  <pic:spPr>
                    <a:xfrm>
                      <a:off x="0" y="0"/>
                      <a:ext cx="2041507" cy="335851"/>
                    </a:xfrm>
                    <a:prstGeom prst="rect">
                      <a:avLst/>
                    </a:prstGeom>
                  </pic:spPr>
                </pic:pic>
              </a:graphicData>
            </a:graphic>
          </wp:anchor>
        </w:drawing>
      </w:r>
      <w:r>
        <w:rPr/>
        <w:drawing>
          <wp:anchor distT="0" distB="0" distL="0" distR="0" allowOverlap="1" layoutInCell="1" locked="0" behindDoc="1" simplePos="0" relativeHeight="487589376">
            <wp:simplePos x="0" y="0"/>
            <wp:positionH relativeFrom="page">
              <wp:posOffset>3657600</wp:posOffset>
            </wp:positionH>
            <wp:positionV relativeFrom="paragraph">
              <wp:posOffset>288743</wp:posOffset>
            </wp:positionV>
            <wp:extent cx="1776697" cy="532066"/>
            <wp:effectExtent l="0" t="0" r="0" b="0"/>
            <wp:wrapTopAndBottom/>
            <wp:docPr id="8" name="Image 8" descr="Text  Description automatically generated"/>
            <wp:cNvGraphicFramePr>
              <a:graphicFrameLocks/>
            </wp:cNvGraphicFramePr>
            <a:graphic>
              <a:graphicData uri="http://schemas.openxmlformats.org/drawingml/2006/picture">
                <pic:pic>
                  <pic:nvPicPr>
                    <pic:cNvPr id="8" name="Image 8" descr="Text  Description automatically generated"/>
                    <pic:cNvPicPr/>
                  </pic:nvPicPr>
                  <pic:blipFill>
                    <a:blip r:embed="rId16" cstate="print"/>
                    <a:stretch>
                      <a:fillRect/>
                    </a:stretch>
                  </pic:blipFill>
                  <pic:spPr>
                    <a:xfrm>
                      <a:off x="0" y="0"/>
                      <a:ext cx="1776697" cy="532066"/>
                    </a:xfrm>
                    <a:prstGeom prst="rect">
                      <a:avLst/>
                    </a:prstGeom>
                  </pic:spPr>
                </pic:pic>
              </a:graphicData>
            </a:graphic>
          </wp:anchor>
        </w:drawing>
      </w:r>
    </w:p>
    <w:p>
      <w:pPr>
        <w:pStyle w:val="BodyText"/>
        <w:rPr>
          <w:sz w:val="20"/>
        </w:rPr>
      </w:pPr>
    </w:p>
    <w:p>
      <w:pPr>
        <w:pStyle w:val="BodyText"/>
        <w:spacing w:before="129"/>
        <w:rPr>
          <w:sz w:val="20"/>
        </w:rPr>
      </w:pPr>
      <w:r>
        <w:rPr/>
        <mc:AlternateContent>
          <mc:Choice Requires="wps">
            <w:drawing>
              <wp:anchor distT="0" distB="0" distL="0" distR="0" allowOverlap="1" layoutInCell="1" locked="0" behindDoc="1" simplePos="0" relativeHeight="487589888">
                <wp:simplePos x="0" y="0"/>
                <wp:positionH relativeFrom="page">
                  <wp:posOffset>914704</wp:posOffset>
                </wp:positionH>
                <wp:positionV relativeFrom="paragraph">
                  <wp:posOffset>243431</wp:posOffset>
                </wp:positionV>
                <wp:extent cx="2332355"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2332355" cy="1270"/>
                        </a:xfrm>
                        <a:custGeom>
                          <a:avLst/>
                          <a:gdLst/>
                          <a:ahLst/>
                          <a:cxnLst/>
                          <a:rect l="l" t="t" r="r" b="b"/>
                          <a:pathLst>
                            <a:path w="2332355" h="0">
                              <a:moveTo>
                                <a:pt x="0" y="0"/>
                              </a:moveTo>
                              <a:lnTo>
                                <a:pt x="2331735"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19.167799pt;width:183.65pt;height:.1pt;mso-position-horizontal-relative:page;mso-position-vertical-relative:paragraph;z-index:-15726592;mso-wrap-distance-left:0;mso-wrap-distance-right:0" id="docshape4" coordorigin="1440,383" coordsize="3673,0" path="m1440,383l5113,383e" filled="false" stroked="true" strokeweight=".6955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0400">
                <wp:simplePos x="0" y="0"/>
                <wp:positionH relativeFrom="page">
                  <wp:posOffset>3658234</wp:posOffset>
                </wp:positionH>
                <wp:positionV relativeFrom="paragraph">
                  <wp:posOffset>243431</wp:posOffset>
                </wp:positionV>
                <wp:extent cx="2021205"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2021205" cy="1270"/>
                        </a:xfrm>
                        <a:custGeom>
                          <a:avLst/>
                          <a:gdLst/>
                          <a:ahLst/>
                          <a:cxnLst/>
                          <a:rect l="l" t="t" r="r" b="b"/>
                          <a:pathLst>
                            <a:path w="2021205" h="0">
                              <a:moveTo>
                                <a:pt x="0" y="0"/>
                              </a:moveTo>
                              <a:lnTo>
                                <a:pt x="202083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8.049988pt;margin-top:19.167799pt;width:159.15pt;height:.1pt;mso-position-horizontal-relative:page;mso-position-vertical-relative:paragraph;z-index:-15726080;mso-wrap-distance-left:0;mso-wrap-distance-right:0" id="docshape5" coordorigin="5761,383" coordsize="3183,0" path="m5761,383l8943,383e" filled="false" stroked="true" strokeweight=".69552pt" strokecolor="#000000">
                <v:path arrowok="t"/>
                <v:stroke dashstyle="solid"/>
                <w10:wrap type="topAndBottom"/>
              </v:shape>
            </w:pict>
          </mc:Fallback>
        </mc:AlternateContent>
      </w:r>
    </w:p>
    <w:p>
      <w:pPr>
        <w:pStyle w:val="BodyText"/>
        <w:tabs>
          <w:tab w:pos="4420" w:val="left" w:leader="none"/>
        </w:tabs>
        <w:spacing w:before="40"/>
        <w:ind w:left="100"/>
      </w:pPr>
      <w:r>
        <w:rPr/>
        <w:t>Stephen</w:t>
      </w:r>
      <w:r>
        <w:rPr>
          <w:spacing w:val="-4"/>
        </w:rPr>
        <w:t> </w:t>
      </w:r>
      <w:r>
        <w:rPr>
          <w:spacing w:val="-2"/>
        </w:rPr>
        <w:t>Lieberman</w:t>
      </w:r>
      <w:r>
        <w:rPr/>
        <w:tab/>
        <w:t>Allison</w:t>
      </w:r>
      <w:r>
        <w:rPr>
          <w:spacing w:val="-4"/>
        </w:rPr>
        <w:t> </w:t>
      </w:r>
      <w:r>
        <w:rPr>
          <w:spacing w:val="-2"/>
        </w:rPr>
        <w:t>Nichol</w:t>
      </w:r>
    </w:p>
    <w:p>
      <w:pPr>
        <w:pStyle w:val="BodyText"/>
        <w:tabs>
          <w:tab w:pos="4420" w:val="left" w:leader="none"/>
        </w:tabs>
        <w:spacing w:before="41"/>
        <w:ind w:left="100"/>
      </w:pPr>
      <w:r>
        <w:rPr/>
        <w:t>United</w:t>
      </w:r>
      <w:r>
        <w:rPr>
          <w:spacing w:val="-11"/>
        </w:rPr>
        <w:t> </w:t>
      </w:r>
      <w:r>
        <w:rPr/>
        <w:t>Spinal</w:t>
      </w:r>
      <w:r>
        <w:rPr>
          <w:spacing w:val="-13"/>
        </w:rPr>
        <w:t> </w:t>
      </w:r>
      <w:r>
        <w:rPr>
          <w:spacing w:val="-2"/>
        </w:rPr>
        <w:t>Association</w:t>
      </w:r>
      <w:r>
        <w:rPr/>
        <w:tab/>
        <w:t>Epilepsy</w:t>
      </w:r>
      <w:r>
        <w:rPr>
          <w:spacing w:val="-12"/>
        </w:rPr>
        <w:t> </w:t>
      </w:r>
      <w:r>
        <w:rPr>
          <w:spacing w:val="-2"/>
        </w:rPr>
        <w:t>Foundation</w:t>
      </w:r>
    </w:p>
    <w:p>
      <w:pPr>
        <w:pStyle w:val="BodyText"/>
        <w:rPr>
          <w:sz w:val="20"/>
        </w:rPr>
      </w:pPr>
    </w:p>
    <w:p>
      <w:pPr>
        <w:pStyle w:val="BodyText"/>
        <w:rPr>
          <w:sz w:val="20"/>
        </w:rPr>
      </w:pPr>
    </w:p>
    <w:p>
      <w:pPr>
        <w:pStyle w:val="BodyText"/>
        <w:rPr>
          <w:sz w:val="20"/>
        </w:rPr>
      </w:pPr>
    </w:p>
    <w:p>
      <w:pPr>
        <w:pStyle w:val="BodyText"/>
        <w:spacing w:before="104"/>
        <w:rPr>
          <w:sz w:val="20"/>
        </w:rPr>
      </w:pPr>
      <w:r>
        <w:rPr/>
        <w:drawing>
          <wp:anchor distT="0" distB="0" distL="0" distR="0" allowOverlap="1" layoutInCell="1" locked="0" behindDoc="1" simplePos="0" relativeHeight="487590912">
            <wp:simplePos x="0" y="0"/>
            <wp:positionH relativeFrom="page">
              <wp:posOffset>1057275</wp:posOffset>
            </wp:positionH>
            <wp:positionV relativeFrom="paragraph">
              <wp:posOffset>227943</wp:posOffset>
            </wp:positionV>
            <wp:extent cx="1552575" cy="228600"/>
            <wp:effectExtent l="0" t="0" r="0" b="0"/>
            <wp:wrapTopAndBottom/>
            <wp:docPr id="11" name="Image 11"/>
            <wp:cNvGraphicFramePr>
              <a:graphicFrameLocks/>
            </wp:cNvGraphicFramePr>
            <a:graphic>
              <a:graphicData uri="http://schemas.openxmlformats.org/drawingml/2006/picture">
                <pic:pic>
                  <pic:nvPicPr>
                    <pic:cNvPr id="11" name="Image 11"/>
                    <pic:cNvPicPr/>
                  </pic:nvPicPr>
                  <pic:blipFill>
                    <a:blip r:embed="rId17" cstate="print"/>
                    <a:stretch>
                      <a:fillRect/>
                    </a:stretch>
                  </pic:blipFill>
                  <pic:spPr>
                    <a:xfrm>
                      <a:off x="0" y="0"/>
                      <a:ext cx="1552575" cy="228600"/>
                    </a:xfrm>
                    <a:prstGeom prst="rect">
                      <a:avLst/>
                    </a:prstGeom>
                  </pic:spPr>
                </pic:pic>
              </a:graphicData>
            </a:graphic>
          </wp:anchor>
        </w:drawing>
      </w:r>
    </w:p>
    <w:p>
      <w:pPr>
        <w:spacing w:before="19"/>
        <w:ind w:left="0" w:right="481" w:firstLine="0"/>
        <w:jc w:val="center"/>
        <w:rPr>
          <w:sz w:val="22"/>
        </w:rPr>
      </w:pPr>
      <w:r>
        <w:rPr>
          <w:spacing w:val="-5"/>
          <w:sz w:val="22"/>
        </w:rPr>
        <w:t>/s/</w:t>
      </w:r>
    </w:p>
    <w:p>
      <w:pPr>
        <w:pStyle w:val="BodyText"/>
        <w:spacing w:before="29"/>
        <w:rPr>
          <w:sz w:val="20"/>
        </w:rPr>
      </w:pPr>
      <w:r>
        <w:rPr/>
        <mc:AlternateContent>
          <mc:Choice Requires="wps">
            <w:drawing>
              <wp:anchor distT="0" distB="0" distL="0" distR="0" allowOverlap="1" layoutInCell="1" locked="0" behindDoc="1" simplePos="0" relativeHeight="487591424">
                <wp:simplePos x="0" y="0"/>
                <wp:positionH relativeFrom="page">
                  <wp:posOffset>914704</wp:posOffset>
                </wp:positionH>
                <wp:positionV relativeFrom="paragraph">
                  <wp:posOffset>180089</wp:posOffset>
                </wp:positionV>
                <wp:extent cx="2409825"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2409825" cy="1270"/>
                        </a:xfrm>
                        <a:custGeom>
                          <a:avLst/>
                          <a:gdLst/>
                          <a:ahLst/>
                          <a:cxnLst/>
                          <a:rect l="l" t="t" r="r" b="b"/>
                          <a:pathLst>
                            <a:path w="2409825" h="0">
                              <a:moveTo>
                                <a:pt x="0" y="0"/>
                              </a:moveTo>
                              <a:lnTo>
                                <a:pt x="2409459"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14.180282pt;width:189.75pt;height:.1pt;mso-position-horizontal-relative:page;mso-position-vertical-relative:paragraph;z-index:-15725056;mso-wrap-distance-left:0;mso-wrap-distance-right:0" id="docshape6" coordorigin="1440,284" coordsize="3795,0" path="m1440,284l5235,284e" filled="false" stroked="true" strokeweight=".6955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1936">
                <wp:simplePos x="0" y="0"/>
                <wp:positionH relativeFrom="page">
                  <wp:posOffset>3658234</wp:posOffset>
                </wp:positionH>
                <wp:positionV relativeFrom="paragraph">
                  <wp:posOffset>180089</wp:posOffset>
                </wp:positionV>
                <wp:extent cx="2098675"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2098675" cy="1270"/>
                        </a:xfrm>
                        <a:custGeom>
                          <a:avLst/>
                          <a:gdLst/>
                          <a:ahLst/>
                          <a:cxnLst/>
                          <a:rect l="l" t="t" r="r" b="b"/>
                          <a:pathLst>
                            <a:path w="2098675" h="0">
                              <a:moveTo>
                                <a:pt x="0" y="0"/>
                              </a:moveTo>
                              <a:lnTo>
                                <a:pt x="2098561"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8.049988pt;margin-top:14.180282pt;width:165.25pt;height:.1pt;mso-position-horizontal-relative:page;mso-position-vertical-relative:paragraph;z-index:-15724544;mso-wrap-distance-left:0;mso-wrap-distance-right:0" id="docshape7" coordorigin="5761,284" coordsize="3305,0" path="m5761,284l9066,284e" filled="false" stroked="true" strokeweight=".69552pt" strokecolor="#000000">
                <v:path arrowok="t"/>
                <v:stroke dashstyle="solid"/>
                <w10:wrap type="topAndBottom"/>
              </v:shape>
            </w:pict>
          </mc:Fallback>
        </mc:AlternateContent>
      </w:r>
    </w:p>
    <w:p>
      <w:pPr>
        <w:pStyle w:val="BodyText"/>
        <w:tabs>
          <w:tab w:pos="4420" w:val="left" w:leader="none"/>
        </w:tabs>
        <w:spacing w:before="40"/>
        <w:ind w:left="100"/>
      </w:pPr>
      <w:r>
        <w:rPr/>
        <w:t>Morgan</w:t>
      </w:r>
      <w:r>
        <w:rPr>
          <w:spacing w:val="-14"/>
        </w:rPr>
        <w:t> </w:t>
      </w:r>
      <w:r>
        <w:rPr>
          <w:spacing w:val="-2"/>
        </w:rPr>
        <w:t>Whitlatch</w:t>
      </w:r>
      <w:r>
        <w:rPr/>
        <w:tab/>
        <w:t>Larkin</w:t>
      </w:r>
      <w:r>
        <w:rPr>
          <w:spacing w:val="-7"/>
        </w:rPr>
        <w:t> </w:t>
      </w:r>
      <w:r>
        <w:rPr/>
        <w:t>Taylor-</w:t>
      </w:r>
      <w:r>
        <w:rPr>
          <w:spacing w:val="-2"/>
        </w:rPr>
        <w:t>Parker</w:t>
      </w:r>
    </w:p>
    <w:p>
      <w:pPr>
        <w:pStyle w:val="BodyText"/>
        <w:tabs>
          <w:tab w:pos="4420" w:val="left" w:leader="none"/>
        </w:tabs>
        <w:spacing w:line="480" w:lineRule="auto"/>
        <w:ind w:left="100" w:right="1826"/>
      </w:pPr>
      <w:r>
        <w:rPr/>
        <w:t>Center for Public Representation</w:t>
        <w:tab/>
        <w:t>Autistic</w:t>
      </w:r>
      <w:r>
        <w:rPr>
          <w:spacing w:val="-12"/>
        </w:rPr>
        <w:t> </w:t>
      </w:r>
      <w:r>
        <w:rPr/>
        <w:t>Self</w:t>
      </w:r>
      <w:r>
        <w:rPr>
          <w:spacing w:val="-12"/>
        </w:rPr>
        <w:t> </w:t>
      </w:r>
      <w:r>
        <w:rPr/>
        <w:t>Advocacy</w:t>
      </w:r>
      <w:r>
        <w:rPr>
          <w:spacing w:val="-12"/>
        </w:rPr>
        <w:t> </w:t>
      </w:r>
      <w:r>
        <w:rPr/>
        <w:t>Network Co-chairs, CCD Rights Task Force</w:t>
      </w:r>
    </w:p>
    <w:sectPr>
      <w:pgSz w:w="12240" w:h="15840"/>
      <w:pgMar w:header="0" w:footer="827" w:top="1360" w:bottom="102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21280">
              <wp:simplePos x="0" y="0"/>
              <wp:positionH relativeFrom="page">
                <wp:posOffset>3806063</wp:posOffset>
              </wp:positionH>
              <wp:positionV relativeFrom="page">
                <wp:posOffset>9393843</wp:posOffset>
              </wp:positionV>
              <wp:extent cx="173990" cy="19621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3990" cy="196215"/>
                      </a:xfrm>
                      <a:prstGeom prst="rect">
                        <a:avLst/>
                      </a:prstGeom>
                    </wps:spPr>
                    <wps:txbx>
                      <w:txbxContent>
                        <w:p>
                          <w:pPr>
                            <w:pStyle w:val="BodyText"/>
                            <w:spacing w:before="12"/>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9.690002pt;margin-top:739.672729pt;width:13.7pt;height:15.45pt;mso-position-horizontal-relative:page;mso-position-vertical-relative:page;z-index:-15795200" type="#_x0000_t202" id="docshape1" filled="false" stroked="false">
              <v:textbox inset="0,0,0,0">
                <w:txbxContent>
                  <w:p>
                    <w:pPr>
                      <w:pStyle w:val="BodyText"/>
                      <w:spacing w:before="12"/>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ind w:left="480" w:right="481"/>
      <w:jc w:val="center"/>
      <w:outlineLvl w:val="1"/>
    </w:pPr>
    <w:rPr>
      <w:rFonts w:ascii="Arial" w:hAnsi="Arial" w:eastAsia="Arial" w:cs="Arial"/>
      <w:b/>
      <w:bCs/>
      <w:sz w:val="24"/>
      <w:szCs w:val="24"/>
      <w:u w:val="single" w:color="00000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http://www.regulations.gov/" TargetMode="External"/><Relationship Id="rId8" Type="http://schemas.openxmlformats.org/officeDocument/2006/relationships/hyperlink" Target="https://www.regulations.gov/document/DOE-HQ-2025-0015-0001" TargetMode="External"/><Relationship Id="rId9" Type="http://schemas.openxmlformats.org/officeDocument/2006/relationships/hyperlink" Target="https://www.regulations.gov/document/DOE-HQ-2025-0024-0001" TargetMode="External"/><Relationship Id="rId10" Type="http://schemas.openxmlformats.org/officeDocument/2006/relationships/hyperlink" Target="mailto:OEGeneralCounsel@hq.doe.gov" TargetMode="External"/><Relationship Id="rId11" Type="http://schemas.openxmlformats.org/officeDocument/2006/relationships/hyperlink" Target="https://www.federalregister.gov/documents/2025/05/16/2025-08535/rescinding-new-construction-requirements-related-to-nondiscrimination-in-federally-assisted-programs" TargetMode="External"/><Relationship Id="rId12" Type="http://schemas.openxmlformats.org/officeDocument/2006/relationships/hyperlink" Target="https://www.federalregister.gov/documents/2025/05/16/2025-08593/rescinding-regulations-related-to-nondiscrimination-in-federally-assisted-programs-or-activities" TargetMode="External"/><Relationship Id="rId13" Type="http://schemas.openxmlformats.org/officeDocument/2006/relationships/image" Target="media/image2.jpeg"/><Relationship Id="rId14" Type="http://schemas.openxmlformats.org/officeDocument/2006/relationships/image" Target="media/image3.jpeg"/><Relationship Id="rId15" Type="http://schemas.openxmlformats.org/officeDocument/2006/relationships/image" Target="media/image4.png"/><Relationship Id="rId16" Type="http://schemas.openxmlformats.org/officeDocument/2006/relationships/image" Target="media/image5.jpeg"/><Relationship Id="rId17"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Mathis</dc:creator>
  <dcterms:created xsi:type="dcterms:W3CDTF">2025-06-21T22:04:36Z</dcterms:created>
  <dcterms:modified xsi:type="dcterms:W3CDTF">2025-06-21T22:04:36Z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2025-06-16T00:00:00Z</vt:filetime>
  </property>
  <property fmtid="{D5CDD505-2E9C-101B-9397-08002B2CF9AE}" pid="3" name="Creator">
    <vt:lpwstr>Microsoft® Word for Microsoft 365</vt:lpwstr>
  </property>
  <property fmtid="{D5CDD505-2E9C-101B-9397-08002B2CF9AE}" pid="4" name="LastSaved">
    <vt:filetime>2025-06-21T00:00:00Z</vt:filetime>
  </property>
  <property fmtid="{D5CDD505-2E9C-101B-9397-08002B2CF9AE}" pid="5" name="Producer">
    <vt:lpwstr>Microsoft® Word for Microsoft 365</vt:lpwstr>
  </property>
</Properties>
</file>