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97"/>
      </w:pPr>
      <w:r>
        <w:rPr/>
        <w:t>What</w:t>
      </w:r>
      <w:r>
        <w:rPr>
          <w:spacing w:val="40"/>
        </w:rPr>
        <w:t> </w:t>
      </w:r>
      <w:r>
        <w:rPr/>
        <w:t>You</w:t>
      </w:r>
      <w:r>
        <w:rPr>
          <w:spacing w:val="39"/>
        </w:rPr>
        <w:t> </w:t>
      </w:r>
      <w:r>
        <w:rPr/>
        <w:t>Need</w:t>
      </w:r>
      <w:r>
        <w:rPr>
          <w:spacing w:val="45"/>
        </w:rPr>
        <w:t> </w:t>
      </w:r>
      <w:r>
        <w:rPr/>
        <w:t>to</w:t>
      </w:r>
      <w:r>
        <w:rPr>
          <w:spacing w:val="33"/>
        </w:rPr>
        <w:t> </w:t>
      </w:r>
      <w:r>
        <w:rPr/>
        <w:t>Know</w:t>
      </w:r>
      <w:r>
        <w:rPr>
          <w:spacing w:val="39"/>
        </w:rPr>
        <w:t> </w:t>
      </w:r>
      <w:r>
        <w:rPr/>
        <w:t>about</w:t>
      </w:r>
      <w:r>
        <w:rPr>
          <w:spacing w:val="45"/>
        </w:rPr>
        <w:t> </w:t>
      </w:r>
      <w:r>
        <w:rPr/>
        <w:t>the</w:t>
      </w:r>
      <w:r>
        <w:rPr>
          <w:spacing w:val="39"/>
        </w:rPr>
        <w:t> </w:t>
      </w:r>
      <w:r>
        <w:rPr/>
        <w:t>Trump</w:t>
      </w:r>
      <w:r>
        <w:rPr>
          <w:spacing w:val="41"/>
        </w:rPr>
        <w:t> </w:t>
      </w:r>
      <w:r>
        <w:rPr/>
        <w:t>Administration’s</w:t>
      </w:r>
      <w:r>
        <w:rPr>
          <w:spacing w:val="41"/>
        </w:rPr>
        <w:t> </w:t>
      </w:r>
      <w:r>
        <w:rPr/>
        <w:t>Attack</w:t>
      </w:r>
      <w:r>
        <w:rPr>
          <w:spacing w:val="45"/>
        </w:rPr>
        <w:t> </w:t>
      </w:r>
      <w:r>
        <w:rPr>
          <w:spacing w:val="-5"/>
        </w:rPr>
        <w:t>on</w:t>
      </w:r>
    </w:p>
    <w:p>
      <w:pPr>
        <w:pStyle w:val="Title"/>
        <w:ind w:left="6"/>
      </w:pPr>
      <w:r>
        <w:rPr>
          <w:w w:val="105"/>
        </w:rPr>
        <w:t>Affirmative</w:t>
      </w:r>
      <w:r>
        <w:rPr>
          <w:spacing w:val="3"/>
          <w:w w:val="105"/>
        </w:rPr>
        <w:t> </w:t>
      </w:r>
      <w:r>
        <w:rPr>
          <w:spacing w:val="-2"/>
          <w:w w:val="105"/>
        </w:rPr>
        <w:t>Marketing</w:t>
      </w:r>
    </w:p>
    <w:p>
      <w:pPr>
        <w:pStyle w:val="BodyText"/>
        <w:spacing w:before="238"/>
        <w:ind w:left="100" w:right="113"/>
        <w:jc w:val="both"/>
      </w:pPr>
      <w:r>
        <w:rPr>
          <w:w w:val="105"/>
        </w:rPr>
        <w:t>On June</w:t>
      </w:r>
      <w:r>
        <w:rPr>
          <w:w w:val="105"/>
        </w:rPr>
        <w:t> 3, 2025, the U.S. Department of Housing and Urban Development (“HUD”) published a notice</w:t>
      </w:r>
      <w:r>
        <w:rPr>
          <w:w w:val="105"/>
        </w:rPr>
        <w:t> of</w:t>
      </w:r>
      <w:r>
        <w:rPr>
          <w:w w:val="105"/>
        </w:rPr>
        <w:t> proposed</w:t>
      </w:r>
      <w:r>
        <w:rPr>
          <w:w w:val="105"/>
        </w:rPr>
        <w:t> rulemaking</w:t>
      </w:r>
      <w:r>
        <w:rPr>
          <w:w w:val="105"/>
        </w:rPr>
        <w:t> (“proposed</w:t>
      </w:r>
      <w:r>
        <w:rPr>
          <w:w w:val="105"/>
        </w:rPr>
        <w:t> rule”)</w:t>
      </w:r>
      <w:r>
        <w:rPr>
          <w:w w:val="105"/>
        </w:rPr>
        <w:t> in</w:t>
      </w:r>
      <w:r>
        <w:rPr>
          <w:w w:val="105"/>
        </w:rPr>
        <w:t> the</w:t>
      </w:r>
      <w:r>
        <w:rPr>
          <w:w w:val="105"/>
        </w:rPr>
        <w:t> Federal</w:t>
      </w:r>
      <w:r>
        <w:rPr>
          <w:w w:val="105"/>
        </w:rPr>
        <w:t> Register</w:t>
      </w:r>
      <w:r>
        <w:rPr>
          <w:w w:val="105"/>
        </w:rPr>
        <w:t> entitled</w:t>
      </w:r>
      <w:r>
        <w:rPr>
          <w:w w:val="105"/>
        </w:rPr>
        <w:t> </w:t>
      </w:r>
      <w:hyperlink r:id="rId7">
        <w:r>
          <w:rPr>
            <w:color w:val="467885"/>
            <w:w w:val="105"/>
            <w:u w:val="single" w:color="467885"/>
          </w:rPr>
          <w:t>“Rescission</w:t>
        </w:r>
        <w:r>
          <w:rPr>
            <w:color w:val="467885"/>
            <w:w w:val="105"/>
            <w:u w:val="single" w:color="467885"/>
          </w:rPr>
          <w:t> of</w:t>
        </w:r>
      </w:hyperlink>
      <w:r>
        <w:rPr>
          <w:color w:val="467885"/>
          <w:w w:val="105"/>
          <w:u w:val="none"/>
        </w:rPr>
        <w:t> </w:t>
      </w:r>
      <w:hyperlink r:id="rId7">
        <w:r>
          <w:rPr>
            <w:color w:val="467885"/>
            <w:w w:val="105"/>
            <w:u w:val="single" w:color="467885"/>
          </w:rPr>
          <w:t>Affirmative Fair</w:t>
        </w:r>
        <w:r>
          <w:rPr>
            <w:color w:val="467885"/>
            <w:spacing w:val="-1"/>
            <w:w w:val="105"/>
            <w:u w:val="single" w:color="467885"/>
          </w:rPr>
          <w:t> </w:t>
        </w:r>
        <w:r>
          <w:rPr>
            <w:color w:val="467885"/>
            <w:w w:val="105"/>
            <w:u w:val="single" w:color="467885"/>
          </w:rPr>
          <w:t>Housing</w:t>
        </w:r>
        <w:r>
          <w:rPr>
            <w:color w:val="467885"/>
            <w:spacing w:val="-5"/>
            <w:w w:val="105"/>
            <w:u w:val="single" w:color="467885"/>
          </w:rPr>
          <w:t> </w:t>
        </w:r>
        <w:r>
          <w:rPr>
            <w:color w:val="467885"/>
            <w:w w:val="105"/>
            <w:u w:val="single" w:color="467885"/>
          </w:rPr>
          <w:t>Marketing</w:t>
        </w:r>
        <w:r>
          <w:rPr>
            <w:color w:val="467885"/>
            <w:spacing w:val="-3"/>
            <w:w w:val="105"/>
            <w:u w:val="single" w:color="467885"/>
          </w:rPr>
          <w:t> </w:t>
        </w:r>
        <w:r>
          <w:rPr>
            <w:color w:val="467885"/>
            <w:w w:val="105"/>
            <w:u w:val="single" w:color="467885"/>
          </w:rPr>
          <w:t>Regulations.”</w:t>
        </w:r>
      </w:hyperlink>
      <w:r>
        <w:rPr>
          <w:color w:val="467885"/>
          <w:w w:val="105"/>
          <w:u w:val="none"/>
        </w:rPr>
        <w:t> </w:t>
      </w:r>
      <w:r>
        <w:rPr>
          <w:w w:val="105"/>
          <w:u w:val="none"/>
        </w:rPr>
        <w:t>If</w:t>
      </w:r>
      <w:r>
        <w:rPr>
          <w:spacing w:val="-3"/>
          <w:w w:val="105"/>
          <w:u w:val="none"/>
        </w:rPr>
        <w:t> </w:t>
      </w:r>
      <w:r>
        <w:rPr>
          <w:w w:val="105"/>
          <w:u w:val="none"/>
        </w:rPr>
        <w:t>finalized,</w:t>
      </w:r>
      <w:r>
        <w:rPr>
          <w:spacing w:val="-4"/>
          <w:w w:val="105"/>
          <w:u w:val="none"/>
        </w:rPr>
        <w:t> </w:t>
      </w:r>
      <w:r>
        <w:rPr>
          <w:w w:val="105"/>
          <w:u w:val="none"/>
        </w:rPr>
        <w:t>the</w:t>
      </w:r>
      <w:r>
        <w:rPr>
          <w:spacing w:val="-2"/>
          <w:w w:val="105"/>
          <w:u w:val="none"/>
        </w:rPr>
        <w:t> </w:t>
      </w:r>
      <w:r>
        <w:rPr>
          <w:w w:val="105"/>
          <w:u w:val="none"/>
        </w:rPr>
        <w:t>proposed</w:t>
      </w:r>
      <w:r>
        <w:rPr>
          <w:spacing w:val="-3"/>
          <w:w w:val="105"/>
          <w:u w:val="none"/>
        </w:rPr>
        <w:t> </w:t>
      </w:r>
      <w:r>
        <w:rPr>
          <w:w w:val="105"/>
          <w:u w:val="none"/>
        </w:rPr>
        <w:t>rule would</w:t>
      </w:r>
      <w:r>
        <w:rPr>
          <w:spacing w:val="-3"/>
          <w:w w:val="105"/>
          <w:u w:val="none"/>
        </w:rPr>
        <w:t> </w:t>
      </w:r>
      <w:r>
        <w:rPr>
          <w:w w:val="105"/>
          <w:u w:val="none"/>
        </w:rPr>
        <w:t>eliminate</w:t>
      </w:r>
      <w:r>
        <w:rPr>
          <w:spacing w:val="-3"/>
          <w:w w:val="105"/>
          <w:u w:val="none"/>
        </w:rPr>
        <w:t> </w:t>
      </w:r>
      <w:r>
        <w:rPr>
          <w:w w:val="105"/>
          <w:u w:val="none"/>
        </w:rPr>
        <w:t>the longstanding</w:t>
      </w:r>
      <w:r>
        <w:rPr>
          <w:w w:val="105"/>
          <w:u w:val="none"/>
        </w:rPr>
        <w:t> and</w:t>
      </w:r>
      <w:r>
        <w:rPr>
          <w:w w:val="105"/>
          <w:u w:val="none"/>
        </w:rPr>
        <w:t> historically</w:t>
      </w:r>
      <w:r>
        <w:rPr>
          <w:w w:val="105"/>
          <w:u w:val="none"/>
        </w:rPr>
        <w:t> noncontroversial</w:t>
      </w:r>
      <w:r>
        <w:rPr>
          <w:w w:val="105"/>
          <w:u w:val="none"/>
        </w:rPr>
        <w:t> requirement</w:t>
      </w:r>
      <w:r>
        <w:rPr>
          <w:w w:val="105"/>
          <w:u w:val="none"/>
        </w:rPr>
        <w:t> that</w:t>
      </w:r>
      <w:r>
        <w:rPr>
          <w:w w:val="105"/>
          <w:u w:val="none"/>
        </w:rPr>
        <w:t> owners</w:t>
      </w:r>
      <w:r>
        <w:rPr>
          <w:w w:val="105"/>
          <w:u w:val="none"/>
        </w:rPr>
        <w:t> of</w:t>
      </w:r>
      <w:r>
        <w:rPr>
          <w:w w:val="105"/>
          <w:u w:val="none"/>
        </w:rPr>
        <w:t> federally-assisted housing target advertising and outreach regarding their properties to communities that otherwise might not have learned about the opportunity to live there. Public comments on the proposed rule are</w:t>
      </w:r>
      <w:r>
        <w:rPr>
          <w:w w:val="105"/>
          <w:u w:val="none"/>
        </w:rPr>
        <w:t> due</w:t>
      </w:r>
      <w:r>
        <w:rPr>
          <w:w w:val="105"/>
          <w:u w:val="none"/>
        </w:rPr>
        <w:t> July</w:t>
      </w:r>
      <w:r>
        <w:rPr>
          <w:w w:val="105"/>
          <w:u w:val="none"/>
        </w:rPr>
        <w:t> 3</w:t>
      </w:r>
      <w:r>
        <w:rPr>
          <w:w w:val="105"/>
          <w:u w:val="none"/>
        </w:rPr>
        <w:t> and</w:t>
      </w:r>
      <w:r>
        <w:rPr>
          <w:w w:val="105"/>
          <w:u w:val="none"/>
        </w:rPr>
        <w:t> can</w:t>
      </w:r>
      <w:r>
        <w:rPr>
          <w:w w:val="105"/>
          <w:u w:val="none"/>
        </w:rPr>
        <w:t> be</w:t>
      </w:r>
      <w:r>
        <w:rPr>
          <w:w w:val="105"/>
          <w:u w:val="none"/>
        </w:rPr>
        <w:t> submitted</w:t>
      </w:r>
      <w:r>
        <w:rPr>
          <w:w w:val="105"/>
          <w:u w:val="none"/>
        </w:rPr>
        <w:t> at</w:t>
      </w:r>
      <w:r>
        <w:rPr>
          <w:w w:val="105"/>
          <w:u w:val="none"/>
        </w:rPr>
        <w:t> this</w:t>
      </w:r>
      <w:r>
        <w:rPr>
          <w:w w:val="105"/>
          <w:u w:val="none"/>
        </w:rPr>
        <w:t> </w:t>
      </w:r>
      <w:hyperlink r:id="rId8">
        <w:r>
          <w:rPr>
            <w:color w:val="467885"/>
            <w:w w:val="105"/>
            <w:u w:val="single" w:color="467885"/>
          </w:rPr>
          <w:t>link</w:t>
        </w:r>
      </w:hyperlink>
      <w:r>
        <w:rPr>
          <w:w w:val="105"/>
          <w:u w:val="none"/>
        </w:rPr>
        <w:t>.</w:t>
      </w:r>
      <w:r>
        <w:rPr>
          <w:w w:val="105"/>
          <w:u w:val="none"/>
        </w:rPr>
        <w:t> Here</w:t>
      </w:r>
      <w:r>
        <w:rPr>
          <w:w w:val="105"/>
          <w:u w:val="none"/>
        </w:rPr>
        <w:t> is</w:t>
      </w:r>
      <w:r>
        <w:rPr>
          <w:w w:val="105"/>
          <w:u w:val="none"/>
        </w:rPr>
        <w:t> what</w:t>
      </w:r>
      <w:r>
        <w:rPr>
          <w:w w:val="105"/>
          <w:u w:val="none"/>
        </w:rPr>
        <w:t> civil</w:t>
      </w:r>
      <w:r>
        <w:rPr>
          <w:w w:val="105"/>
          <w:u w:val="none"/>
        </w:rPr>
        <w:t> rights</w:t>
      </w:r>
      <w:r>
        <w:rPr>
          <w:w w:val="105"/>
          <w:u w:val="none"/>
        </w:rPr>
        <w:t> advocates,</w:t>
      </w:r>
      <w:r>
        <w:rPr>
          <w:w w:val="105"/>
          <w:u w:val="none"/>
        </w:rPr>
        <w:t> tenants,</w:t>
      </w:r>
      <w:r>
        <w:rPr>
          <w:spacing w:val="80"/>
          <w:w w:val="105"/>
          <w:u w:val="none"/>
        </w:rPr>
        <w:t> </w:t>
      </w:r>
      <w:r>
        <w:rPr>
          <w:w w:val="105"/>
          <w:u w:val="none"/>
        </w:rPr>
        <w:t>housing</w:t>
      </w:r>
      <w:r>
        <w:rPr>
          <w:w w:val="105"/>
          <w:u w:val="none"/>
        </w:rPr>
        <w:t> justice</w:t>
      </w:r>
      <w:r>
        <w:rPr>
          <w:w w:val="105"/>
          <w:u w:val="none"/>
        </w:rPr>
        <w:t> organizers,</w:t>
      </w:r>
      <w:r>
        <w:rPr>
          <w:w w:val="105"/>
          <w:u w:val="none"/>
        </w:rPr>
        <w:t> and</w:t>
      </w:r>
      <w:r>
        <w:rPr>
          <w:w w:val="105"/>
          <w:u w:val="none"/>
        </w:rPr>
        <w:t> affordable</w:t>
      </w:r>
      <w:r>
        <w:rPr>
          <w:w w:val="105"/>
          <w:u w:val="none"/>
        </w:rPr>
        <w:t> housing</w:t>
      </w:r>
      <w:r>
        <w:rPr>
          <w:w w:val="105"/>
          <w:u w:val="none"/>
        </w:rPr>
        <w:t> developers</w:t>
      </w:r>
      <w:r>
        <w:rPr>
          <w:w w:val="105"/>
          <w:u w:val="none"/>
        </w:rPr>
        <w:t> should</w:t>
      </w:r>
      <w:r>
        <w:rPr>
          <w:w w:val="105"/>
          <w:u w:val="none"/>
        </w:rPr>
        <w:t> know</w:t>
      </w:r>
      <w:r>
        <w:rPr>
          <w:w w:val="105"/>
          <w:u w:val="none"/>
        </w:rPr>
        <w:t> about</w:t>
      </w:r>
      <w:r>
        <w:rPr>
          <w:w w:val="105"/>
          <w:u w:val="none"/>
        </w:rPr>
        <w:t> affirmative marketing and the proposed rule:</w:t>
      </w:r>
    </w:p>
    <w:p>
      <w:pPr>
        <w:pStyle w:val="ListParagraph"/>
        <w:numPr>
          <w:ilvl w:val="0"/>
          <w:numId w:val="1"/>
        </w:numPr>
        <w:tabs>
          <w:tab w:pos="820" w:val="left" w:leader="none"/>
        </w:tabs>
        <w:spacing w:line="240" w:lineRule="auto" w:before="244" w:after="0"/>
        <w:ind w:left="820" w:right="117" w:hanging="360"/>
        <w:jc w:val="both"/>
        <w:rPr>
          <w:sz w:val="22"/>
        </w:rPr>
      </w:pPr>
      <w:r>
        <w:rPr>
          <w:b/>
          <w:w w:val="105"/>
          <w:sz w:val="22"/>
        </w:rPr>
        <w:t>Affirmative</w:t>
      </w:r>
      <w:r>
        <w:rPr>
          <w:b/>
          <w:spacing w:val="40"/>
          <w:w w:val="105"/>
          <w:sz w:val="22"/>
        </w:rPr>
        <w:t> </w:t>
      </w:r>
      <w:r>
        <w:rPr>
          <w:b/>
          <w:w w:val="105"/>
          <w:sz w:val="22"/>
        </w:rPr>
        <w:t>marketing</w:t>
      </w:r>
      <w:r>
        <w:rPr>
          <w:b/>
          <w:w w:val="105"/>
          <w:sz w:val="22"/>
        </w:rPr>
        <w:t> requirements</w:t>
      </w:r>
      <w:r>
        <w:rPr>
          <w:b/>
          <w:w w:val="105"/>
          <w:sz w:val="22"/>
        </w:rPr>
        <w:t> direct</w:t>
      </w:r>
      <w:r>
        <w:rPr>
          <w:b/>
          <w:w w:val="105"/>
          <w:sz w:val="22"/>
        </w:rPr>
        <w:t> HUD-assisted</w:t>
      </w:r>
      <w:r>
        <w:rPr>
          <w:b/>
          <w:spacing w:val="40"/>
          <w:w w:val="105"/>
          <w:sz w:val="22"/>
        </w:rPr>
        <w:t> </w:t>
      </w:r>
      <w:r>
        <w:rPr>
          <w:b/>
          <w:w w:val="105"/>
          <w:sz w:val="22"/>
        </w:rPr>
        <w:t>property</w:t>
      </w:r>
      <w:r>
        <w:rPr>
          <w:b/>
          <w:w w:val="105"/>
          <w:sz w:val="22"/>
        </w:rPr>
        <w:t> owners</w:t>
      </w:r>
      <w:r>
        <w:rPr>
          <w:b/>
          <w:w w:val="105"/>
          <w:sz w:val="22"/>
        </w:rPr>
        <w:t> to</w:t>
      </w:r>
      <w:r>
        <w:rPr>
          <w:b/>
          <w:w w:val="105"/>
          <w:sz w:val="22"/>
        </w:rPr>
        <w:t> market</w:t>
      </w:r>
      <w:r>
        <w:rPr>
          <w:b/>
          <w:spacing w:val="40"/>
          <w:w w:val="105"/>
          <w:sz w:val="22"/>
        </w:rPr>
        <w:t> </w:t>
      </w:r>
      <w:r>
        <w:rPr>
          <w:b/>
          <w:w w:val="105"/>
          <w:sz w:val="22"/>
        </w:rPr>
        <w:t>their</w:t>
      </w:r>
      <w:r>
        <w:rPr>
          <w:b/>
          <w:w w:val="105"/>
          <w:sz w:val="22"/>
        </w:rPr>
        <w:t> units</w:t>
      </w:r>
      <w:r>
        <w:rPr>
          <w:b/>
          <w:w w:val="105"/>
          <w:sz w:val="22"/>
        </w:rPr>
        <w:t> to</w:t>
      </w:r>
      <w:r>
        <w:rPr>
          <w:b/>
          <w:w w:val="105"/>
          <w:sz w:val="22"/>
        </w:rPr>
        <w:t> the</w:t>
      </w:r>
      <w:r>
        <w:rPr>
          <w:b/>
          <w:w w:val="105"/>
          <w:sz w:val="22"/>
        </w:rPr>
        <w:t> populations</w:t>
      </w:r>
      <w:r>
        <w:rPr>
          <w:b/>
          <w:w w:val="105"/>
          <w:sz w:val="22"/>
        </w:rPr>
        <w:t> that</w:t>
      </w:r>
      <w:r>
        <w:rPr>
          <w:b/>
          <w:w w:val="105"/>
          <w:sz w:val="22"/>
        </w:rPr>
        <w:t> are “least</w:t>
      </w:r>
      <w:r>
        <w:rPr>
          <w:b/>
          <w:w w:val="105"/>
          <w:sz w:val="22"/>
        </w:rPr>
        <w:t> likely</w:t>
      </w:r>
      <w:r>
        <w:rPr>
          <w:b/>
          <w:w w:val="105"/>
          <w:sz w:val="22"/>
        </w:rPr>
        <w:t> to</w:t>
      </w:r>
      <w:r>
        <w:rPr>
          <w:b/>
          <w:w w:val="105"/>
          <w:sz w:val="22"/>
        </w:rPr>
        <w:t> apply.”</w:t>
      </w:r>
      <w:r>
        <w:rPr>
          <w:b/>
          <w:w w:val="105"/>
          <w:sz w:val="22"/>
        </w:rPr>
        <w:t> </w:t>
      </w:r>
      <w:hyperlink r:id="rId9">
        <w:r>
          <w:rPr>
            <w:color w:val="467885"/>
            <w:w w:val="105"/>
            <w:sz w:val="22"/>
            <w:u w:val="single" w:color="467885"/>
          </w:rPr>
          <w:t>The</w:t>
        </w:r>
        <w:r>
          <w:rPr>
            <w:color w:val="467885"/>
            <w:w w:val="105"/>
            <w:sz w:val="22"/>
            <w:u w:val="single" w:color="467885"/>
          </w:rPr>
          <w:t> existing</w:t>
        </w:r>
        <w:r>
          <w:rPr>
            <w:color w:val="467885"/>
            <w:w w:val="105"/>
            <w:sz w:val="22"/>
            <w:u w:val="single" w:color="467885"/>
          </w:rPr>
          <w:t> affirmative</w:t>
        </w:r>
      </w:hyperlink>
      <w:r>
        <w:rPr>
          <w:color w:val="467885"/>
          <w:w w:val="105"/>
          <w:sz w:val="22"/>
          <w:u w:val="none"/>
        </w:rPr>
        <w:t> </w:t>
      </w:r>
      <w:hyperlink r:id="rId9">
        <w:r>
          <w:rPr>
            <w:color w:val="467885"/>
            <w:w w:val="105"/>
            <w:sz w:val="22"/>
            <w:u w:val="single" w:color="467885"/>
          </w:rPr>
          <w:t>marketing</w:t>
        </w:r>
        <w:r>
          <w:rPr>
            <w:color w:val="467885"/>
            <w:w w:val="105"/>
            <w:sz w:val="22"/>
            <w:u w:val="single" w:color="467885"/>
          </w:rPr>
          <w:t> requirements</w:t>
        </w:r>
      </w:hyperlink>
      <w:r>
        <w:rPr>
          <w:color w:val="467885"/>
          <w:w w:val="105"/>
          <w:sz w:val="22"/>
          <w:u w:val="none"/>
        </w:rPr>
        <w:t> </w:t>
      </w:r>
      <w:r>
        <w:rPr>
          <w:w w:val="105"/>
          <w:sz w:val="22"/>
          <w:u w:val="none"/>
        </w:rPr>
        <w:t>direct</w:t>
      </w:r>
      <w:r>
        <w:rPr>
          <w:w w:val="105"/>
          <w:sz w:val="22"/>
          <w:u w:val="none"/>
        </w:rPr>
        <w:t> owners</w:t>
      </w:r>
      <w:r>
        <w:rPr>
          <w:w w:val="105"/>
          <w:sz w:val="22"/>
          <w:u w:val="none"/>
        </w:rPr>
        <w:t> of</w:t>
      </w:r>
      <w:r>
        <w:rPr>
          <w:w w:val="105"/>
          <w:sz w:val="22"/>
          <w:u w:val="none"/>
        </w:rPr>
        <w:t> federally-assisted</w:t>
      </w:r>
      <w:r>
        <w:rPr>
          <w:w w:val="105"/>
          <w:sz w:val="22"/>
          <w:u w:val="none"/>
        </w:rPr>
        <w:t> properties</w:t>
      </w:r>
      <w:r>
        <w:rPr>
          <w:w w:val="105"/>
          <w:sz w:val="22"/>
          <w:u w:val="none"/>
        </w:rPr>
        <w:t> to</w:t>
      </w:r>
      <w:r>
        <w:rPr>
          <w:w w:val="105"/>
          <w:sz w:val="22"/>
          <w:u w:val="none"/>
        </w:rPr>
        <w:t> identify</w:t>
      </w:r>
      <w:r>
        <w:rPr>
          <w:w w:val="105"/>
          <w:sz w:val="22"/>
          <w:u w:val="none"/>
        </w:rPr>
        <w:t> which groups</w:t>
      </w:r>
      <w:r>
        <w:rPr>
          <w:w w:val="105"/>
          <w:sz w:val="22"/>
          <w:u w:val="none"/>
        </w:rPr>
        <w:t> that</w:t>
      </w:r>
      <w:r>
        <w:rPr>
          <w:w w:val="105"/>
          <w:sz w:val="22"/>
          <w:u w:val="none"/>
        </w:rPr>
        <w:t> are</w:t>
      </w:r>
      <w:r>
        <w:rPr>
          <w:w w:val="105"/>
          <w:sz w:val="22"/>
          <w:u w:val="none"/>
        </w:rPr>
        <w:t> protected</w:t>
      </w:r>
      <w:r>
        <w:rPr>
          <w:w w:val="105"/>
          <w:sz w:val="22"/>
          <w:u w:val="none"/>
        </w:rPr>
        <w:t> from</w:t>
      </w:r>
      <w:r>
        <w:rPr>
          <w:w w:val="105"/>
          <w:sz w:val="22"/>
          <w:u w:val="none"/>
        </w:rPr>
        <w:t> discrimination</w:t>
      </w:r>
      <w:r>
        <w:rPr>
          <w:w w:val="105"/>
          <w:sz w:val="22"/>
          <w:u w:val="none"/>
        </w:rPr>
        <w:t> by</w:t>
      </w:r>
      <w:r>
        <w:rPr>
          <w:w w:val="105"/>
          <w:sz w:val="22"/>
          <w:u w:val="none"/>
        </w:rPr>
        <w:t> the</w:t>
      </w:r>
      <w:r>
        <w:rPr>
          <w:w w:val="105"/>
          <w:sz w:val="22"/>
          <w:u w:val="none"/>
        </w:rPr>
        <w:t> Fair</w:t>
      </w:r>
      <w:r>
        <w:rPr>
          <w:w w:val="105"/>
          <w:sz w:val="22"/>
          <w:u w:val="none"/>
        </w:rPr>
        <w:t> Housing</w:t>
      </w:r>
      <w:r>
        <w:rPr>
          <w:w w:val="105"/>
          <w:sz w:val="22"/>
          <w:u w:val="none"/>
        </w:rPr>
        <w:t> Act</w:t>
      </w:r>
      <w:r>
        <w:rPr>
          <w:w w:val="105"/>
          <w:sz w:val="22"/>
          <w:u w:val="none"/>
        </w:rPr>
        <w:t> (on</w:t>
      </w:r>
      <w:r>
        <w:rPr>
          <w:w w:val="105"/>
          <w:sz w:val="22"/>
          <w:u w:val="none"/>
        </w:rPr>
        <w:t> the</w:t>
      </w:r>
      <w:r>
        <w:rPr>
          <w:w w:val="105"/>
          <w:sz w:val="22"/>
          <w:u w:val="none"/>
        </w:rPr>
        <w:t> basis</w:t>
      </w:r>
      <w:r>
        <w:rPr>
          <w:w w:val="105"/>
          <w:sz w:val="22"/>
          <w:u w:val="none"/>
        </w:rPr>
        <w:t> of protected characteristics like race, national origin, familial status, and disability status) are the</w:t>
      </w:r>
      <w:r>
        <w:rPr>
          <w:spacing w:val="-4"/>
          <w:w w:val="105"/>
          <w:sz w:val="22"/>
          <w:u w:val="none"/>
        </w:rPr>
        <w:t> </w:t>
      </w:r>
      <w:r>
        <w:rPr>
          <w:w w:val="105"/>
          <w:sz w:val="22"/>
          <w:u w:val="none"/>
        </w:rPr>
        <w:t>“least likely to apply”</w:t>
      </w:r>
      <w:r>
        <w:rPr>
          <w:spacing w:val="-10"/>
          <w:w w:val="105"/>
          <w:sz w:val="22"/>
          <w:u w:val="none"/>
        </w:rPr>
        <w:t> </w:t>
      </w:r>
      <w:r>
        <w:rPr>
          <w:w w:val="105"/>
          <w:sz w:val="22"/>
          <w:u w:val="none"/>
        </w:rPr>
        <w:t>to their units. Then, owners must select methods of outreach and advertising, like</w:t>
      </w:r>
      <w:r>
        <w:rPr>
          <w:w w:val="105"/>
          <w:sz w:val="22"/>
          <w:u w:val="none"/>
        </w:rPr>
        <w:t> placing</w:t>
      </w:r>
      <w:r>
        <w:rPr>
          <w:w w:val="105"/>
          <w:sz w:val="22"/>
          <w:u w:val="none"/>
        </w:rPr>
        <w:t> an</w:t>
      </w:r>
      <w:r>
        <w:rPr>
          <w:w w:val="105"/>
          <w:sz w:val="22"/>
          <w:u w:val="none"/>
        </w:rPr>
        <w:t> advertisement</w:t>
      </w:r>
      <w:r>
        <w:rPr>
          <w:w w:val="105"/>
          <w:sz w:val="22"/>
          <w:u w:val="none"/>
        </w:rPr>
        <w:t> in</w:t>
      </w:r>
      <w:r>
        <w:rPr>
          <w:w w:val="105"/>
          <w:sz w:val="22"/>
          <w:u w:val="none"/>
        </w:rPr>
        <w:t> a</w:t>
      </w:r>
      <w:r>
        <w:rPr>
          <w:w w:val="105"/>
          <w:sz w:val="22"/>
          <w:u w:val="none"/>
        </w:rPr>
        <w:t> Black-owned</w:t>
      </w:r>
      <w:r>
        <w:rPr>
          <w:w w:val="105"/>
          <w:sz w:val="22"/>
          <w:u w:val="none"/>
        </w:rPr>
        <w:t> newspaper</w:t>
      </w:r>
      <w:r>
        <w:rPr>
          <w:w w:val="105"/>
          <w:sz w:val="22"/>
          <w:u w:val="none"/>
        </w:rPr>
        <w:t> or</w:t>
      </w:r>
      <w:r>
        <w:rPr>
          <w:w w:val="105"/>
          <w:sz w:val="22"/>
          <w:u w:val="none"/>
        </w:rPr>
        <w:t> informing</w:t>
      </w:r>
      <w:r>
        <w:rPr>
          <w:w w:val="105"/>
          <w:sz w:val="22"/>
          <w:u w:val="none"/>
        </w:rPr>
        <w:t> a disability</w:t>
      </w:r>
      <w:r>
        <w:rPr>
          <w:w w:val="105"/>
          <w:sz w:val="22"/>
          <w:u w:val="none"/>
        </w:rPr>
        <w:t> services</w:t>
      </w:r>
      <w:r>
        <w:rPr>
          <w:w w:val="105"/>
          <w:sz w:val="22"/>
          <w:u w:val="none"/>
        </w:rPr>
        <w:t> organization</w:t>
      </w:r>
      <w:r>
        <w:rPr>
          <w:w w:val="105"/>
          <w:sz w:val="22"/>
          <w:u w:val="none"/>
        </w:rPr>
        <w:t> about</w:t>
      </w:r>
      <w:r>
        <w:rPr>
          <w:w w:val="105"/>
          <w:sz w:val="22"/>
          <w:u w:val="none"/>
        </w:rPr>
        <w:t> the</w:t>
      </w:r>
      <w:r>
        <w:rPr>
          <w:w w:val="105"/>
          <w:sz w:val="22"/>
          <w:u w:val="none"/>
        </w:rPr>
        <w:t> opening</w:t>
      </w:r>
      <w:r>
        <w:rPr>
          <w:w w:val="105"/>
          <w:sz w:val="22"/>
          <w:u w:val="none"/>
        </w:rPr>
        <w:t> of</w:t>
      </w:r>
      <w:r>
        <w:rPr>
          <w:w w:val="105"/>
          <w:sz w:val="22"/>
          <w:u w:val="none"/>
        </w:rPr>
        <w:t> a</w:t>
      </w:r>
      <w:r>
        <w:rPr>
          <w:w w:val="105"/>
          <w:sz w:val="22"/>
          <w:u w:val="none"/>
        </w:rPr>
        <w:t> waiting</w:t>
      </w:r>
      <w:r>
        <w:rPr>
          <w:w w:val="105"/>
          <w:sz w:val="22"/>
          <w:u w:val="none"/>
        </w:rPr>
        <w:t> list,</w:t>
      </w:r>
      <w:r>
        <w:rPr>
          <w:w w:val="105"/>
          <w:sz w:val="22"/>
          <w:u w:val="none"/>
        </w:rPr>
        <w:t> that</w:t>
      </w:r>
      <w:r>
        <w:rPr>
          <w:w w:val="105"/>
          <w:sz w:val="22"/>
          <w:u w:val="none"/>
        </w:rPr>
        <w:t> are</w:t>
      </w:r>
      <w:r>
        <w:rPr>
          <w:w w:val="105"/>
          <w:sz w:val="22"/>
          <w:u w:val="none"/>
        </w:rPr>
        <w:t> designed</w:t>
      </w:r>
      <w:r>
        <w:rPr>
          <w:w w:val="105"/>
          <w:sz w:val="22"/>
          <w:u w:val="none"/>
        </w:rPr>
        <w:t> to reach those communities. Often, the populations that are the least likely to apply are those that</w:t>
      </w:r>
      <w:r>
        <w:rPr>
          <w:w w:val="105"/>
          <w:sz w:val="22"/>
          <w:u w:val="none"/>
        </w:rPr>
        <w:t> are</w:t>
      </w:r>
      <w:r>
        <w:rPr>
          <w:w w:val="105"/>
          <w:sz w:val="22"/>
          <w:u w:val="none"/>
        </w:rPr>
        <w:t> underrepresented</w:t>
      </w:r>
      <w:r>
        <w:rPr>
          <w:w w:val="105"/>
          <w:sz w:val="22"/>
          <w:u w:val="none"/>
        </w:rPr>
        <w:t> in</w:t>
      </w:r>
      <w:r>
        <w:rPr>
          <w:w w:val="105"/>
          <w:sz w:val="22"/>
          <w:u w:val="none"/>
        </w:rPr>
        <w:t> the</w:t>
      </w:r>
      <w:r>
        <w:rPr>
          <w:w w:val="105"/>
          <w:sz w:val="22"/>
          <w:u w:val="none"/>
        </w:rPr>
        <w:t> area</w:t>
      </w:r>
      <w:r>
        <w:rPr>
          <w:w w:val="105"/>
          <w:sz w:val="22"/>
          <w:u w:val="none"/>
        </w:rPr>
        <w:t> where</w:t>
      </w:r>
      <w:r>
        <w:rPr>
          <w:w w:val="105"/>
          <w:sz w:val="22"/>
          <w:u w:val="none"/>
        </w:rPr>
        <w:t> the</w:t>
      </w:r>
      <w:r>
        <w:rPr>
          <w:w w:val="105"/>
          <w:sz w:val="22"/>
          <w:u w:val="none"/>
        </w:rPr>
        <w:t> property</w:t>
      </w:r>
      <w:r>
        <w:rPr>
          <w:w w:val="105"/>
          <w:sz w:val="22"/>
          <w:u w:val="none"/>
        </w:rPr>
        <w:t> is</w:t>
      </w:r>
      <w:r>
        <w:rPr>
          <w:w w:val="105"/>
          <w:sz w:val="22"/>
          <w:u w:val="none"/>
        </w:rPr>
        <w:t> located.</w:t>
      </w:r>
      <w:r>
        <w:rPr>
          <w:w w:val="105"/>
          <w:sz w:val="22"/>
          <w:u w:val="none"/>
        </w:rPr>
        <w:t> Nothing</w:t>
      </w:r>
      <w:r>
        <w:rPr>
          <w:w w:val="105"/>
          <w:sz w:val="22"/>
          <w:u w:val="none"/>
        </w:rPr>
        <w:t> in</w:t>
      </w:r>
      <w:r>
        <w:rPr>
          <w:w w:val="105"/>
          <w:sz w:val="22"/>
          <w:u w:val="none"/>
        </w:rPr>
        <w:t> the requirements dictates which tenants an owner must select for a unit, and nothing prohibits landlords from advertising through other</w:t>
      </w:r>
      <w:r>
        <w:rPr>
          <w:spacing w:val="-1"/>
          <w:w w:val="105"/>
          <w:sz w:val="22"/>
          <w:u w:val="none"/>
        </w:rPr>
        <w:t> </w:t>
      </w:r>
      <w:r>
        <w:rPr>
          <w:w w:val="105"/>
          <w:sz w:val="22"/>
          <w:u w:val="none"/>
        </w:rPr>
        <w:t>channels that</w:t>
      </w:r>
      <w:r>
        <w:rPr>
          <w:spacing w:val="-1"/>
          <w:w w:val="105"/>
          <w:sz w:val="22"/>
          <w:u w:val="none"/>
        </w:rPr>
        <w:t> </w:t>
      </w:r>
      <w:r>
        <w:rPr>
          <w:w w:val="105"/>
          <w:sz w:val="22"/>
          <w:u w:val="none"/>
        </w:rPr>
        <w:t>reach</w:t>
      </w:r>
      <w:r>
        <w:rPr>
          <w:spacing w:val="-1"/>
          <w:w w:val="105"/>
          <w:sz w:val="22"/>
          <w:u w:val="none"/>
        </w:rPr>
        <w:t> </w:t>
      </w:r>
      <w:r>
        <w:rPr>
          <w:w w:val="105"/>
          <w:sz w:val="22"/>
          <w:u w:val="none"/>
        </w:rPr>
        <w:t>different</w:t>
      </w:r>
      <w:r>
        <w:rPr>
          <w:spacing w:val="-1"/>
          <w:w w:val="105"/>
          <w:sz w:val="22"/>
          <w:u w:val="none"/>
        </w:rPr>
        <w:t> </w:t>
      </w:r>
      <w:r>
        <w:rPr>
          <w:w w:val="105"/>
          <w:sz w:val="22"/>
          <w:u w:val="none"/>
        </w:rPr>
        <w:t>populations,</w:t>
      </w:r>
      <w:r>
        <w:rPr>
          <w:spacing w:val="-2"/>
          <w:w w:val="105"/>
          <w:sz w:val="22"/>
          <w:u w:val="none"/>
        </w:rPr>
        <w:t> </w:t>
      </w:r>
      <w:r>
        <w:rPr>
          <w:w w:val="105"/>
          <w:sz w:val="22"/>
          <w:u w:val="none"/>
        </w:rPr>
        <w:t>as well.</w:t>
      </w:r>
    </w:p>
    <w:p>
      <w:pPr>
        <w:pStyle w:val="BodyText"/>
        <w:spacing w:before="3"/>
      </w:pPr>
    </w:p>
    <w:p>
      <w:pPr>
        <w:pStyle w:val="ListParagraph"/>
        <w:numPr>
          <w:ilvl w:val="0"/>
          <w:numId w:val="1"/>
        </w:numPr>
        <w:tabs>
          <w:tab w:pos="820" w:val="left" w:leader="none"/>
        </w:tabs>
        <w:spacing w:line="240" w:lineRule="auto" w:before="0" w:after="0"/>
        <w:ind w:left="820" w:right="115" w:hanging="360"/>
        <w:jc w:val="both"/>
        <w:rPr>
          <w:sz w:val="22"/>
        </w:rPr>
      </w:pPr>
      <w:r>
        <w:rPr>
          <w:b/>
          <w:w w:val="105"/>
          <w:sz w:val="22"/>
        </w:rPr>
        <w:t>HUD’s affirmative marketing requirements date back to the 1970s and have never been challenged in court. </w:t>
      </w:r>
      <w:r>
        <w:rPr>
          <w:w w:val="105"/>
          <w:sz w:val="22"/>
        </w:rPr>
        <w:t>HUD has both the statutory duty and the constitutional authority to require</w:t>
      </w:r>
      <w:r>
        <w:rPr>
          <w:w w:val="105"/>
          <w:sz w:val="22"/>
        </w:rPr>
        <w:t> developers</w:t>
      </w:r>
      <w:r>
        <w:rPr>
          <w:w w:val="105"/>
          <w:sz w:val="22"/>
        </w:rPr>
        <w:t> that</w:t>
      </w:r>
      <w:r>
        <w:rPr>
          <w:w w:val="105"/>
          <w:sz w:val="22"/>
        </w:rPr>
        <w:t> benefit</w:t>
      </w:r>
      <w:r>
        <w:rPr>
          <w:w w:val="105"/>
          <w:sz w:val="22"/>
        </w:rPr>
        <w:t> from</w:t>
      </w:r>
      <w:r>
        <w:rPr>
          <w:w w:val="105"/>
          <w:sz w:val="22"/>
        </w:rPr>
        <w:t> HUD</w:t>
      </w:r>
      <w:r>
        <w:rPr>
          <w:w w:val="105"/>
          <w:sz w:val="22"/>
        </w:rPr>
        <w:t> assistance</w:t>
      </w:r>
      <w:r>
        <w:rPr>
          <w:w w:val="105"/>
          <w:sz w:val="22"/>
        </w:rPr>
        <w:t> to</w:t>
      </w:r>
      <w:r>
        <w:rPr>
          <w:w w:val="105"/>
          <w:sz w:val="22"/>
        </w:rPr>
        <w:t> engage</w:t>
      </w:r>
      <w:r>
        <w:rPr>
          <w:w w:val="105"/>
          <w:sz w:val="22"/>
        </w:rPr>
        <w:t> in</w:t>
      </w:r>
      <w:r>
        <w:rPr>
          <w:w w:val="105"/>
          <w:sz w:val="22"/>
        </w:rPr>
        <w:t> affirmative</w:t>
      </w:r>
      <w:r>
        <w:rPr>
          <w:w w:val="105"/>
          <w:sz w:val="22"/>
        </w:rPr>
        <w:t> marketing. Affirmative</w:t>
      </w:r>
      <w:r>
        <w:rPr>
          <w:spacing w:val="-8"/>
          <w:w w:val="105"/>
          <w:sz w:val="22"/>
        </w:rPr>
        <w:t> </w:t>
      </w:r>
      <w:r>
        <w:rPr>
          <w:w w:val="105"/>
          <w:sz w:val="22"/>
        </w:rPr>
        <w:t>marketing</w:t>
      </w:r>
      <w:r>
        <w:rPr>
          <w:spacing w:val="-6"/>
          <w:w w:val="105"/>
          <w:sz w:val="22"/>
        </w:rPr>
        <w:t> </w:t>
      </w:r>
      <w:r>
        <w:rPr>
          <w:w w:val="105"/>
          <w:sz w:val="22"/>
        </w:rPr>
        <w:t>is</w:t>
      </w:r>
      <w:r>
        <w:rPr>
          <w:spacing w:val="-6"/>
          <w:w w:val="105"/>
          <w:sz w:val="22"/>
        </w:rPr>
        <w:t> </w:t>
      </w:r>
      <w:r>
        <w:rPr>
          <w:w w:val="105"/>
          <w:sz w:val="22"/>
        </w:rPr>
        <w:t>entirely</w:t>
      </w:r>
      <w:r>
        <w:rPr>
          <w:spacing w:val="-6"/>
          <w:w w:val="105"/>
          <w:sz w:val="22"/>
        </w:rPr>
        <w:t> </w:t>
      </w:r>
      <w:r>
        <w:rPr>
          <w:w w:val="105"/>
          <w:sz w:val="22"/>
        </w:rPr>
        <w:t>consistent</w:t>
      </w:r>
      <w:r>
        <w:rPr>
          <w:spacing w:val="-6"/>
          <w:w w:val="105"/>
          <w:sz w:val="22"/>
        </w:rPr>
        <w:t> </w:t>
      </w:r>
      <w:r>
        <w:rPr>
          <w:w w:val="105"/>
          <w:sz w:val="22"/>
        </w:rPr>
        <w:t>with</w:t>
      </w:r>
      <w:r>
        <w:rPr>
          <w:spacing w:val="-8"/>
          <w:w w:val="105"/>
          <w:sz w:val="22"/>
        </w:rPr>
        <w:t> </w:t>
      </w:r>
      <w:r>
        <w:rPr>
          <w:w w:val="105"/>
          <w:sz w:val="22"/>
        </w:rPr>
        <w:t>the</w:t>
      </w:r>
      <w:r>
        <w:rPr>
          <w:spacing w:val="-8"/>
          <w:w w:val="105"/>
          <w:sz w:val="22"/>
        </w:rPr>
        <w:t> </w:t>
      </w:r>
      <w:r>
        <w:rPr>
          <w:w w:val="105"/>
          <w:sz w:val="22"/>
        </w:rPr>
        <w:t>Equal</w:t>
      </w:r>
      <w:r>
        <w:rPr>
          <w:spacing w:val="-6"/>
          <w:w w:val="105"/>
          <w:sz w:val="22"/>
        </w:rPr>
        <w:t> </w:t>
      </w:r>
      <w:r>
        <w:rPr>
          <w:w w:val="105"/>
          <w:sz w:val="22"/>
        </w:rPr>
        <w:t>Protection component</w:t>
      </w:r>
      <w:r>
        <w:rPr>
          <w:spacing w:val="-6"/>
          <w:w w:val="105"/>
          <w:sz w:val="22"/>
        </w:rPr>
        <w:t> </w:t>
      </w:r>
      <w:r>
        <w:rPr>
          <w:w w:val="105"/>
          <w:sz w:val="22"/>
        </w:rPr>
        <w:t>of</w:t>
      </w:r>
      <w:r>
        <w:rPr>
          <w:spacing w:val="-6"/>
          <w:w w:val="105"/>
          <w:sz w:val="22"/>
        </w:rPr>
        <w:t> </w:t>
      </w:r>
      <w:r>
        <w:rPr>
          <w:w w:val="105"/>
          <w:sz w:val="22"/>
        </w:rPr>
        <w:t>the</w:t>
      </w:r>
      <w:r>
        <w:rPr>
          <w:spacing w:val="-5"/>
          <w:w w:val="105"/>
          <w:sz w:val="22"/>
        </w:rPr>
        <w:t> </w:t>
      </w:r>
      <w:r>
        <w:rPr>
          <w:w w:val="105"/>
          <w:sz w:val="22"/>
        </w:rPr>
        <w:t>Due Process Clause. The practice does not grant or deny housing to anyone based on their race, it</w:t>
      </w:r>
      <w:r>
        <w:rPr>
          <w:w w:val="105"/>
          <w:sz w:val="22"/>
        </w:rPr>
        <w:t> is</w:t>
      </w:r>
      <w:r>
        <w:rPr>
          <w:w w:val="105"/>
          <w:sz w:val="22"/>
        </w:rPr>
        <w:t> simply</w:t>
      </w:r>
      <w:r>
        <w:rPr>
          <w:w w:val="105"/>
          <w:sz w:val="22"/>
        </w:rPr>
        <w:t> designed</w:t>
      </w:r>
      <w:r>
        <w:rPr>
          <w:w w:val="105"/>
          <w:sz w:val="22"/>
        </w:rPr>
        <w:t> to</w:t>
      </w:r>
      <w:r>
        <w:rPr>
          <w:w w:val="105"/>
          <w:sz w:val="22"/>
        </w:rPr>
        <w:t> level</w:t>
      </w:r>
      <w:r>
        <w:rPr>
          <w:w w:val="105"/>
          <w:sz w:val="22"/>
        </w:rPr>
        <w:t> the</w:t>
      </w:r>
      <w:r>
        <w:rPr>
          <w:w w:val="105"/>
          <w:sz w:val="22"/>
        </w:rPr>
        <w:t> playing</w:t>
      </w:r>
      <w:r>
        <w:rPr>
          <w:w w:val="105"/>
          <w:sz w:val="22"/>
        </w:rPr>
        <w:t> field</w:t>
      </w:r>
      <w:r>
        <w:rPr>
          <w:w w:val="105"/>
          <w:sz w:val="22"/>
        </w:rPr>
        <w:t> for</w:t>
      </w:r>
      <w:r>
        <w:rPr>
          <w:w w:val="105"/>
          <w:sz w:val="22"/>
        </w:rPr>
        <w:t> everyone</w:t>
      </w:r>
      <w:r>
        <w:rPr>
          <w:w w:val="105"/>
          <w:sz w:val="22"/>
        </w:rPr>
        <w:t> in</w:t>
      </w:r>
      <w:r>
        <w:rPr>
          <w:w w:val="105"/>
          <w:sz w:val="22"/>
        </w:rPr>
        <w:t> the</w:t>
      </w:r>
      <w:r>
        <w:rPr>
          <w:w w:val="105"/>
          <w:sz w:val="22"/>
        </w:rPr>
        <w:t> housing</w:t>
      </w:r>
      <w:r>
        <w:rPr>
          <w:w w:val="105"/>
          <w:sz w:val="22"/>
        </w:rPr>
        <w:t> market.</w:t>
      </w:r>
      <w:r>
        <w:rPr>
          <w:w w:val="105"/>
          <w:sz w:val="22"/>
        </w:rPr>
        <w:t> In</w:t>
      </w:r>
      <w:r>
        <w:rPr>
          <w:w w:val="105"/>
          <w:sz w:val="22"/>
        </w:rPr>
        <w:t> the leading</w:t>
      </w:r>
      <w:r>
        <w:rPr>
          <w:w w:val="105"/>
          <w:sz w:val="22"/>
        </w:rPr>
        <w:t> court</w:t>
      </w:r>
      <w:r>
        <w:rPr>
          <w:w w:val="105"/>
          <w:sz w:val="22"/>
        </w:rPr>
        <w:t> decision</w:t>
      </w:r>
      <w:r>
        <w:rPr>
          <w:w w:val="105"/>
          <w:sz w:val="22"/>
        </w:rPr>
        <w:t> relating</w:t>
      </w:r>
      <w:r>
        <w:rPr>
          <w:w w:val="105"/>
          <w:sz w:val="22"/>
        </w:rPr>
        <w:t> to</w:t>
      </w:r>
      <w:r>
        <w:rPr>
          <w:w w:val="105"/>
          <w:sz w:val="22"/>
        </w:rPr>
        <w:t> policy</w:t>
      </w:r>
      <w:r>
        <w:rPr>
          <w:w w:val="105"/>
          <w:sz w:val="22"/>
        </w:rPr>
        <w:t> interventions</w:t>
      </w:r>
      <w:r>
        <w:rPr>
          <w:w w:val="105"/>
          <w:sz w:val="22"/>
        </w:rPr>
        <w:t> like</w:t>
      </w:r>
      <w:r>
        <w:rPr>
          <w:w w:val="105"/>
          <w:sz w:val="22"/>
        </w:rPr>
        <w:t> affirmative</w:t>
      </w:r>
      <w:r>
        <w:rPr>
          <w:w w:val="105"/>
          <w:sz w:val="22"/>
        </w:rPr>
        <w:t> marketing,</w:t>
      </w:r>
      <w:r>
        <w:rPr>
          <w:w w:val="105"/>
          <w:sz w:val="22"/>
        </w:rPr>
        <w:t> a conservative panel of the U.S. Court of Appeals for the Seventh Circuit upheld analogous practices in 1991 in</w:t>
      </w:r>
      <w:r>
        <w:rPr>
          <w:w w:val="105"/>
          <w:sz w:val="22"/>
        </w:rPr>
        <w:t> </w:t>
      </w:r>
      <w:hyperlink r:id="rId10">
        <w:r>
          <w:rPr>
            <w:i/>
            <w:color w:val="467885"/>
            <w:w w:val="105"/>
            <w:sz w:val="22"/>
            <w:u w:val="single" w:color="467885"/>
          </w:rPr>
          <w:t>South-Suburban Housing</w:t>
        </w:r>
        <w:r>
          <w:rPr>
            <w:i/>
            <w:color w:val="467885"/>
            <w:w w:val="105"/>
            <w:sz w:val="22"/>
            <w:u w:val="single" w:color="467885"/>
          </w:rPr>
          <w:t> Center</w:t>
        </w:r>
        <w:r>
          <w:rPr>
            <w:i/>
            <w:color w:val="467885"/>
            <w:w w:val="105"/>
            <w:sz w:val="22"/>
            <w:u w:val="single" w:color="467885"/>
          </w:rPr>
          <w:t> v. Board</w:t>
        </w:r>
        <w:r>
          <w:rPr>
            <w:i/>
            <w:color w:val="467885"/>
            <w:w w:val="105"/>
            <w:sz w:val="22"/>
            <w:u w:val="single" w:color="467885"/>
          </w:rPr>
          <w:t> of</w:t>
        </w:r>
        <w:r>
          <w:rPr>
            <w:i/>
            <w:color w:val="467885"/>
            <w:w w:val="105"/>
            <w:sz w:val="22"/>
            <w:u w:val="single" w:color="467885"/>
          </w:rPr>
          <w:t> Realtors</w:t>
        </w:r>
      </w:hyperlink>
      <w:r>
        <w:rPr>
          <w:w w:val="105"/>
          <w:sz w:val="22"/>
          <w:u w:val="none"/>
        </w:rPr>
        <w:t>. Nothing</w:t>
      </w:r>
      <w:r>
        <w:rPr>
          <w:w w:val="105"/>
          <w:sz w:val="22"/>
          <w:u w:val="none"/>
        </w:rPr>
        <w:t> in the Supreme Court’s</w:t>
      </w:r>
      <w:r>
        <w:rPr>
          <w:w w:val="105"/>
          <w:sz w:val="22"/>
          <w:u w:val="none"/>
        </w:rPr>
        <w:t> 2023 decision in</w:t>
      </w:r>
      <w:r>
        <w:rPr>
          <w:w w:val="105"/>
          <w:sz w:val="22"/>
          <w:u w:val="none"/>
        </w:rPr>
        <w:t> </w:t>
      </w:r>
      <w:hyperlink r:id="rId11">
        <w:r>
          <w:rPr>
            <w:i/>
            <w:color w:val="467885"/>
            <w:w w:val="105"/>
            <w:sz w:val="22"/>
            <w:u w:val="single" w:color="467885"/>
          </w:rPr>
          <w:t>Students for Fair</w:t>
        </w:r>
        <w:r>
          <w:rPr>
            <w:i/>
            <w:color w:val="467885"/>
            <w:w w:val="105"/>
            <w:sz w:val="22"/>
            <w:u w:val="single" w:color="467885"/>
          </w:rPr>
          <w:t> Admissions v. President &amp; Fellows of</w:t>
        </w:r>
      </w:hyperlink>
      <w:r>
        <w:rPr>
          <w:i/>
          <w:color w:val="467885"/>
          <w:w w:val="105"/>
          <w:sz w:val="22"/>
          <w:u w:val="none"/>
        </w:rPr>
        <w:t> </w:t>
      </w:r>
      <w:hyperlink r:id="rId11">
        <w:r>
          <w:rPr>
            <w:i/>
            <w:color w:val="467885"/>
            <w:w w:val="105"/>
            <w:sz w:val="22"/>
            <w:u w:val="single" w:color="467885"/>
          </w:rPr>
          <w:t>Harvard College</w:t>
        </w:r>
      </w:hyperlink>
      <w:r>
        <w:rPr>
          <w:i/>
          <w:color w:val="467885"/>
          <w:w w:val="105"/>
          <w:sz w:val="22"/>
          <w:u w:val="none"/>
        </w:rPr>
        <w:t> </w:t>
      </w:r>
      <w:r>
        <w:rPr>
          <w:w w:val="105"/>
          <w:sz w:val="22"/>
          <w:u w:val="none"/>
        </w:rPr>
        <w:t>undermined the basis of that decision.</w:t>
      </w:r>
    </w:p>
    <w:p>
      <w:pPr>
        <w:pStyle w:val="BodyText"/>
        <w:spacing w:before="47"/>
      </w:pPr>
    </w:p>
    <w:p>
      <w:pPr>
        <w:pStyle w:val="ListParagraph"/>
        <w:numPr>
          <w:ilvl w:val="0"/>
          <w:numId w:val="1"/>
        </w:numPr>
        <w:tabs>
          <w:tab w:pos="820" w:val="left" w:leader="none"/>
        </w:tabs>
        <w:spacing w:line="240" w:lineRule="auto" w:before="0" w:after="0"/>
        <w:ind w:left="820" w:right="114" w:hanging="360"/>
        <w:jc w:val="both"/>
        <w:rPr>
          <w:sz w:val="22"/>
        </w:rPr>
      </w:pPr>
      <w:r>
        <w:rPr>
          <w:b/>
          <w:w w:val="105"/>
          <w:sz w:val="22"/>
        </w:rPr>
        <w:t>Affirmative</w:t>
      </w:r>
      <w:r>
        <w:rPr>
          <w:b/>
          <w:w w:val="105"/>
          <w:sz w:val="22"/>
        </w:rPr>
        <w:t> marketing</w:t>
      </w:r>
      <w:r>
        <w:rPr>
          <w:b/>
          <w:w w:val="105"/>
          <w:sz w:val="22"/>
        </w:rPr>
        <w:t> is</w:t>
      </w:r>
      <w:r>
        <w:rPr>
          <w:b/>
          <w:w w:val="105"/>
          <w:sz w:val="22"/>
        </w:rPr>
        <w:t> needed</w:t>
      </w:r>
      <w:r>
        <w:rPr>
          <w:b/>
          <w:w w:val="105"/>
          <w:sz w:val="22"/>
        </w:rPr>
        <w:t> to</w:t>
      </w:r>
      <w:r>
        <w:rPr>
          <w:b/>
          <w:w w:val="105"/>
          <w:sz w:val="22"/>
        </w:rPr>
        <w:t> foster</w:t>
      </w:r>
      <w:r>
        <w:rPr>
          <w:b/>
          <w:w w:val="105"/>
          <w:sz w:val="22"/>
        </w:rPr>
        <w:t> inclusive</w:t>
      </w:r>
      <w:r>
        <w:rPr>
          <w:b/>
          <w:w w:val="105"/>
          <w:sz w:val="22"/>
        </w:rPr>
        <w:t> communities</w:t>
      </w:r>
      <w:r>
        <w:rPr>
          <w:b/>
          <w:w w:val="105"/>
          <w:sz w:val="22"/>
        </w:rPr>
        <w:t> that</w:t>
      </w:r>
      <w:r>
        <w:rPr>
          <w:b/>
          <w:w w:val="105"/>
          <w:sz w:val="22"/>
        </w:rPr>
        <w:t> are</w:t>
      </w:r>
      <w:r>
        <w:rPr>
          <w:b/>
          <w:w w:val="105"/>
          <w:sz w:val="22"/>
        </w:rPr>
        <w:t> free</w:t>
      </w:r>
      <w:r>
        <w:rPr>
          <w:b/>
          <w:w w:val="105"/>
          <w:sz w:val="22"/>
        </w:rPr>
        <w:t> from discrimination. </w:t>
      </w:r>
      <w:r>
        <w:rPr>
          <w:w w:val="105"/>
          <w:sz w:val="22"/>
        </w:rPr>
        <w:t>Because of a combination of implicit bias, intentional discrimination, and disparities</w:t>
      </w:r>
      <w:r>
        <w:rPr>
          <w:w w:val="105"/>
          <w:sz w:val="22"/>
        </w:rPr>
        <w:t> in</w:t>
      </w:r>
      <w:r>
        <w:rPr>
          <w:w w:val="105"/>
          <w:sz w:val="22"/>
        </w:rPr>
        <w:t> access</w:t>
      </w:r>
      <w:r>
        <w:rPr>
          <w:w w:val="105"/>
          <w:sz w:val="22"/>
        </w:rPr>
        <w:t> to</w:t>
      </w:r>
      <w:r>
        <w:rPr>
          <w:w w:val="105"/>
          <w:sz w:val="22"/>
        </w:rPr>
        <w:t> information</w:t>
      </w:r>
      <w:r>
        <w:rPr>
          <w:w w:val="105"/>
          <w:sz w:val="22"/>
        </w:rPr>
        <w:t> fueled</w:t>
      </w:r>
      <w:r>
        <w:rPr>
          <w:w w:val="105"/>
          <w:sz w:val="22"/>
        </w:rPr>
        <w:t> by</w:t>
      </w:r>
      <w:r>
        <w:rPr>
          <w:w w:val="105"/>
          <w:sz w:val="22"/>
        </w:rPr>
        <w:t> word-of-mouth</w:t>
      </w:r>
      <w:r>
        <w:rPr>
          <w:w w:val="105"/>
          <w:sz w:val="22"/>
        </w:rPr>
        <w:t> networks,</w:t>
      </w:r>
      <w:r>
        <w:rPr>
          <w:w w:val="105"/>
          <w:sz w:val="22"/>
        </w:rPr>
        <w:t> affirmative marketing</w:t>
      </w:r>
      <w:r>
        <w:rPr>
          <w:w w:val="105"/>
          <w:sz w:val="22"/>
        </w:rPr>
        <w:t> is</w:t>
      </w:r>
      <w:r>
        <w:rPr>
          <w:w w:val="105"/>
          <w:sz w:val="22"/>
        </w:rPr>
        <w:t> necessary</w:t>
      </w:r>
      <w:r>
        <w:rPr>
          <w:w w:val="105"/>
          <w:sz w:val="22"/>
        </w:rPr>
        <w:t> to</w:t>
      </w:r>
      <w:r>
        <w:rPr>
          <w:w w:val="105"/>
          <w:sz w:val="22"/>
        </w:rPr>
        <w:t> ensure</w:t>
      </w:r>
      <w:r>
        <w:rPr>
          <w:w w:val="105"/>
          <w:sz w:val="22"/>
        </w:rPr>
        <w:t> that</w:t>
      </w:r>
      <w:r>
        <w:rPr>
          <w:w w:val="105"/>
          <w:sz w:val="22"/>
        </w:rPr>
        <w:t> Black</w:t>
      </w:r>
      <w:r>
        <w:rPr>
          <w:w w:val="105"/>
          <w:sz w:val="22"/>
        </w:rPr>
        <w:t> and Latinx</w:t>
      </w:r>
      <w:r>
        <w:rPr>
          <w:w w:val="105"/>
          <w:sz w:val="22"/>
        </w:rPr>
        <w:t> residents</w:t>
      </w:r>
      <w:r>
        <w:rPr>
          <w:w w:val="105"/>
          <w:sz w:val="22"/>
        </w:rPr>
        <w:t> of</w:t>
      </w:r>
      <w:r>
        <w:rPr>
          <w:w w:val="105"/>
          <w:sz w:val="22"/>
        </w:rPr>
        <w:t> high-poverty neighborhoods have a fair opportunity to apply to affordable housing that is developed in low-poverty</w:t>
      </w:r>
      <w:r>
        <w:rPr>
          <w:spacing w:val="-9"/>
          <w:w w:val="105"/>
          <w:sz w:val="22"/>
        </w:rPr>
        <w:t> </w:t>
      </w:r>
      <w:r>
        <w:rPr>
          <w:w w:val="105"/>
          <w:sz w:val="22"/>
        </w:rPr>
        <w:t>areas.</w:t>
      </w:r>
      <w:r>
        <w:rPr>
          <w:spacing w:val="-7"/>
          <w:w w:val="105"/>
          <w:sz w:val="22"/>
        </w:rPr>
        <w:t> </w:t>
      </w:r>
      <w:r>
        <w:rPr>
          <w:w w:val="105"/>
          <w:sz w:val="22"/>
        </w:rPr>
        <w:t>Requiring</w:t>
      </w:r>
      <w:r>
        <w:rPr>
          <w:spacing w:val="-8"/>
          <w:w w:val="105"/>
          <w:sz w:val="22"/>
        </w:rPr>
        <w:t> </w:t>
      </w:r>
      <w:r>
        <w:rPr>
          <w:w w:val="105"/>
          <w:sz w:val="22"/>
        </w:rPr>
        <w:t>affirmative</w:t>
      </w:r>
      <w:r>
        <w:rPr>
          <w:spacing w:val="-9"/>
          <w:w w:val="105"/>
          <w:sz w:val="22"/>
        </w:rPr>
        <w:t> </w:t>
      </w:r>
      <w:r>
        <w:rPr>
          <w:w w:val="105"/>
          <w:sz w:val="22"/>
        </w:rPr>
        <w:t>marketing</w:t>
      </w:r>
      <w:r>
        <w:rPr>
          <w:spacing w:val="-7"/>
          <w:w w:val="105"/>
          <w:sz w:val="22"/>
        </w:rPr>
        <w:t> </w:t>
      </w:r>
      <w:r>
        <w:rPr>
          <w:w w:val="105"/>
          <w:sz w:val="22"/>
        </w:rPr>
        <w:t>reduces</w:t>
      </w:r>
      <w:r>
        <w:rPr>
          <w:spacing w:val="-9"/>
          <w:w w:val="105"/>
          <w:sz w:val="22"/>
        </w:rPr>
        <w:t> </w:t>
      </w:r>
      <w:r>
        <w:rPr>
          <w:w w:val="105"/>
          <w:sz w:val="22"/>
        </w:rPr>
        <w:t>the</w:t>
      </w:r>
      <w:r>
        <w:rPr>
          <w:spacing w:val="-9"/>
          <w:w w:val="105"/>
          <w:sz w:val="22"/>
        </w:rPr>
        <w:t> </w:t>
      </w:r>
      <w:r>
        <w:rPr>
          <w:w w:val="105"/>
          <w:sz w:val="22"/>
        </w:rPr>
        <w:t>likelihood</w:t>
      </w:r>
      <w:r>
        <w:rPr>
          <w:spacing w:val="-8"/>
          <w:w w:val="105"/>
          <w:sz w:val="22"/>
        </w:rPr>
        <w:t> </w:t>
      </w:r>
      <w:r>
        <w:rPr>
          <w:w w:val="105"/>
          <w:sz w:val="22"/>
        </w:rPr>
        <w:t>that</w:t>
      </w:r>
      <w:r>
        <w:rPr>
          <w:spacing w:val="-9"/>
          <w:w w:val="105"/>
          <w:sz w:val="22"/>
        </w:rPr>
        <w:t> </w:t>
      </w:r>
      <w:r>
        <w:rPr>
          <w:w w:val="105"/>
          <w:sz w:val="22"/>
        </w:rPr>
        <w:t>those</w:t>
      </w:r>
      <w:r>
        <w:rPr>
          <w:spacing w:val="-9"/>
          <w:w w:val="105"/>
          <w:sz w:val="22"/>
        </w:rPr>
        <w:t> </w:t>
      </w:r>
      <w:r>
        <w:rPr>
          <w:w w:val="105"/>
          <w:sz w:val="22"/>
        </w:rPr>
        <w:t>owners will discriminate against prospective tenants in ways that are difficult to detect.</w:t>
      </w:r>
    </w:p>
    <w:p>
      <w:pPr>
        <w:spacing w:after="0" w:line="240" w:lineRule="auto"/>
        <w:jc w:val="both"/>
        <w:rPr>
          <w:sz w:val="22"/>
        </w:rPr>
        <w:sectPr>
          <w:headerReference w:type="default" r:id="rId5"/>
          <w:footerReference w:type="default" r:id="rId6"/>
          <w:type w:val="continuous"/>
          <w:pgSz w:w="12240" w:h="15840"/>
          <w:pgMar w:header="720" w:footer="1103" w:top="1880" w:bottom="1300" w:left="1340" w:right="1320"/>
          <w:pgNumType w:start="1"/>
        </w:sectPr>
      </w:pPr>
    </w:p>
    <w:p>
      <w:pPr>
        <w:pStyle w:val="BodyText"/>
        <w:spacing w:before="202"/>
      </w:pPr>
    </w:p>
    <w:p>
      <w:pPr>
        <w:pStyle w:val="ListParagraph"/>
        <w:numPr>
          <w:ilvl w:val="0"/>
          <w:numId w:val="1"/>
        </w:numPr>
        <w:tabs>
          <w:tab w:pos="820" w:val="left" w:leader="none"/>
        </w:tabs>
        <w:spacing w:line="240" w:lineRule="auto" w:before="0" w:after="0"/>
        <w:ind w:left="820" w:right="112" w:hanging="360"/>
        <w:jc w:val="both"/>
        <w:rPr>
          <w:sz w:val="22"/>
        </w:rPr>
      </w:pPr>
      <w:r>
        <w:rPr>
          <w:b/>
          <w:w w:val="105"/>
          <w:sz w:val="22"/>
        </w:rPr>
        <w:t>HUD-assisted property owners are able to comply with the existing requirements with minimal burden.</w:t>
      </w:r>
      <w:r>
        <w:rPr>
          <w:b/>
          <w:w w:val="105"/>
          <w:sz w:val="22"/>
        </w:rPr>
        <w:t> </w:t>
      </w:r>
      <w:r>
        <w:rPr>
          <w:w w:val="105"/>
          <w:sz w:val="22"/>
        </w:rPr>
        <w:t>Because</w:t>
      </w:r>
      <w:r>
        <w:rPr>
          <w:w w:val="105"/>
          <w:sz w:val="22"/>
        </w:rPr>
        <w:t> HUD’s</w:t>
      </w:r>
      <w:r>
        <w:rPr>
          <w:w w:val="105"/>
          <w:sz w:val="22"/>
        </w:rPr>
        <w:t> existing</w:t>
      </w:r>
      <w:r>
        <w:rPr>
          <w:w w:val="105"/>
          <w:sz w:val="22"/>
        </w:rPr>
        <w:t> requirements</w:t>
      </w:r>
      <w:r>
        <w:rPr>
          <w:w w:val="105"/>
          <w:sz w:val="22"/>
        </w:rPr>
        <w:t> are</w:t>
      </w:r>
      <w:r>
        <w:rPr>
          <w:w w:val="105"/>
          <w:sz w:val="22"/>
        </w:rPr>
        <w:t> longstanding</w:t>
      </w:r>
      <w:r>
        <w:rPr>
          <w:w w:val="105"/>
          <w:sz w:val="22"/>
        </w:rPr>
        <w:t> and</w:t>
      </w:r>
      <w:r>
        <w:rPr>
          <w:w w:val="105"/>
          <w:sz w:val="22"/>
        </w:rPr>
        <w:t> because property</w:t>
      </w:r>
      <w:r>
        <w:rPr>
          <w:w w:val="105"/>
          <w:sz w:val="22"/>
        </w:rPr>
        <w:t> owners</w:t>
      </w:r>
      <w:r>
        <w:rPr>
          <w:w w:val="105"/>
          <w:sz w:val="22"/>
        </w:rPr>
        <w:t> have</w:t>
      </w:r>
      <w:r>
        <w:rPr>
          <w:w w:val="105"/>
          <w:sz w:val="22"/>
        </w:rPr>
        <w:t> a</w:t>
      </w:r>
      <w:r>
        <w:rPr>
          <w:w w:val="105"/>
          <w:sz w:val="22"/>
        </w:rPr>
        <w:t> practical</w:t>
      </w:r>
      <w:r>
        <w:rPr>
          <w:w w:val="105"/>
          <w:sz w:val="22"/>
        </w:rPr>
        <w:t> need</w:t>
      </w:r>
      <w:r>
        <w:rPr>
          <w:w w:val="105"/>
          <w:sz w:val="22"/>
        </w:rPr>
        <w:t> to</w:t>
      </w:r>
      <w:r>
        <w:rPr>
          <w:w w:val="105"/>
          <w:sz w:val="22"/>
        </w:rPr>
        <w:t> engage</w:t>
      </w:r>
      <w:r>
        <w:rPr>
          <w:w w:val="105"/>
          <w:sz w:val="22"/>
        </w:rPr>
        <w:t> in</w:t>
      </w:r>
      <w:r>
        <w:rPr>
          <w:w w:val="105"/>
          <w:sz w:val="22"/>
        </w:rPr>
        <w:t> some</w:t>
      </w:r>
      <w:r>
        <w:rPr>
          <w:w w:val="105"/>
          <w:sz w:val="22"/>
        </w:rPr>
        <w:t> marketing</w:t>
      </w:r>
      <w:r>
        <w:rPr>
          <w:w w:val="105"/>
          <w:sz w:val="22"/>
        </w:rPr>
        <w:t> activities</w:t>
      </w:r>
      <w:r>
        <w:rPr>
          <w:w w:val="105"/>
          <w:sz w:val="22"/>
        </w:rPr>
        <w:t> no</w:t>
      </w:r>
      <w:r>
        <w:rPr>
          <w:w w:val="105"/>
          <w:sz w:val="22"/>
        </w:rPr>
        <w:t> matter what,</w:t>
      </w:r>
      <w:r>
        <w:rPr>
          <w:w w:val="105"/>
          <w:sz w:val="22"/>
        </w:rPr>
        <w:t> property owners have developed systems for</w:t>
      </w:r>
      <w:r>
        <w:rPr>
          <w:w w:val="105"/>
          <w:sz w:val="22"/>
        </w:rPr>
        <w:t> efficiently</w:t>
      </w:r>
      <w:r>
        <w:rPr>
          <w:w w:val="105"/>
          <w:sz w:val="22"/>
        </w:rPr>
        <w:t> complying with the requirements.</w:t>
      </w:r>
      <w:r>
        <w:rPr>
          <w:w w:val="105"/>
          <w:sz w:val="22"/>
        </w:rPr>
        <w:t> Accordingly,</w:t>
      </w:r>
      <w:r>
        <w:rPr>
          <w:w w:val="105"/>
          <w:sz w:val="22"/>
        </w:rPr>
        <w:t> rescinding</w:t>
      </w:r>
      <w:r>
        <w:rPr>
          <w:w w:val="105"/>
          <w:sz w:val="22"/>
        </w:rPr>
        <w:t> the</w:t>
      </w:r>
      <w:r>
        <w:rPr>
          <w:w w:val="105"/>
          <w:sz w:val="22"/>
        </w:rPr>
        <w:t> requirements</w:t>
      </w:r>
      <w:r>
        <w:rPr>
          <w:w w:val="105"/>
          <w:sz w:val="22"/>
        </w:rPr>
        <w:t> will</w:t>
      </w:r>
      <w:r>
        <w:rPr>
          <w:w w:val="105"/>
          <w:sz w:val="22"/>
        </w:rPr>
        <w:t> not</w:t>
      </w:r>
      <w:r>
        <w:rPr>
          <w:w w:val="105"/>
          <w:sz w:val="22"/>
        </w:rPr>
        <w:t> ease</w:t>
      </w:r>
      <w:r>
        <w:rPr>
          <w:w w:val="105"/>
          <w:sz w:val="22"/>
        </w:rPr>
        <w:t> any</w:t>
      </w:r>
      <w:r>
        <w:rPr>
          <w:w w:val="105"/>
          <w:sz w:val="22"/>
        </w:rPr>
        <w:t> meaningful regulatory</w:t>
      </w:r>
      <w:r>
        <w:rPr>
          <w:spacing w:val="-2"/>
          <w:w w:val="105"/>
          <w:sz w:val="22"/>
        </w:rPr>
        <w:t> </w:t>
      </w:r>
      <w:r>
        <w:rPr>
          <w:w w:val="105"/>
          <w:sz w:val="22"/>
        </w:rPr>
        <w:t>burden</w:t>
      </w:r>
      <w:r>
        <w:rPr>
          <w:spacing w:val="-5"/>
          <w:w w:val="105"/>
          <w:sz w:val="22"/>
        </w:rPr>
        <w:t> </w:t>
      </w:r>
      <w:r>
        <w:rPr>
          <w:w w:val="105"/>
          <w:sz w:val="22"/>
        </w:rPr>
        <w:t>on</w:t>
      </w:r>
      <w:r>
        <w:rPr>
          <w:spacing w:val="-4"/>
          <w:w w:val="105"/>
          <w:sz w:val="22"/>
        </w:rPr>
        <w:t> </w:t>
      </w:r>
      <w:r>
        <w:rPr>
          <w:w w:val="105"/>
          <w:sz w:val="22"/>
        </w:rPr>
        <w:t>property</w:t>
      </w:r>
      <w:r>
        <w:rPr>
          <w:spacing w:val="-2"/>
          <w:w w:val="105"/>
          <w:sz w:val="22"/>
        </w:rPr>
        <w:t> </w:t>
      </w:r>
      <w:r>
        <w:rPr>
          <w:w w:val="105"/>
          <w:sz w:val="22"/>
        </w:rPr>
        <w:t>owners.</w:t>
      </w:r>
      <w:r>
        <w:rPr>
          <w:spacing w:val="-4"/>
          <w:w w:val="105"/>
          <w:sz w:val="22"/>
        </w:rPr>
        <w:t> </w:t>
      </w:r>
      <w:r>
        <w:rPr>
          <w:w w:val="105"/>
          <w:sz w:val="22"/>
        </w:rPr>
        <w:t>Ironically,</w:t>
      </w:r>
      <w:r>
        <w:rPr>
          <w:spacing w:val="-4"/>
          <w:w w:val="105"/>
          <w:sz w:val="22"/>
        </w:rPr>
        <w:t> </w:t>
      </w:r>
      <w:r>
        <w:rPr>
          <w:w w:val="105"/>
          <w:sz w:val="22"/>
        </w:rPr>
        <w:t>since</w:t>
      </w:r>
      <w:r>
        <w:rPr>
          <w:spacing w:val="-5"/>
          <w:w w:val="105"/>
          <w:sz w:val="22"/>
        </w:rPr>
        <w:t> </w:t>
      </w:r>
      <w:r>
        <w:rPr>
          <w:w w:val="105"/>
          <w:sz w:val="22"/>
        </w:rPr>
        <w:t>developing</w:t>
      </w:r>
      <w:r>
        <w:rPr>
          <w:spacing w:val="-2"/>
          <w:w w:val="105"/>
          <w:sz w:val="22"/>
        </w:rPr>
        <w:t> </w:t>
      </w:r>
      <w:r>
        <w:rPr>
          <w:w w:val="105"/>
          <w:sz w:val="22"/>
        </w:rPr>
        <w:t>an</w:t>
      </w:r>
      <w:r>
        <w:rPr>
          <w:spacing w:val="-3"/>
          <w:w w:val="105"/>
          <w:sz w:val="22"/>
        </w:rPr>
        <w:t> </w:t>
      </w:r>
      <w:r>
        <w:rPr>
          <w:w w:val="105"/>
          <w:sz w:val="22"/>
        </w:rPr>
        <w:t>affirmative</w:t>
      </w:r>
      <w:r>
        <w:rPr>
          <w:spacing w:val="-5"/>
          <w:w w:val="105"/>
          <w:sz w:val="22"/>
        </w:rPr>
        <w:t> </w:t>
      </w:r>
      <w:r>
        <w:rPr>
          <w:w w:val="105"/>
          <w:sz w:val="22"/>
        </w:rPr>
        <w:t>marketing plan can help property owners identify and eliminate discriminatory policies and practices before they occur, the rescission will place property owners at greater risk of Fair Housing Act</w:t>
      </w:r>
      <w:r>
        <w:rPr>
          <w:spacing w:val="-1"/>
          <w:w w:val="105"/>
          <w:sz w:val="22"/>
        </w:rPr>
        <w:t> </w:t>
      </w:r>
      <w:r>
        <w:rPr>
          <w:w w:val="105"/>
          <w:sz w:val="22"/>
        </w:rPr>
        <w:t>liability.</w:t>
      </w:r>
    </w:p>
    <w:p>
      <w:pPr>
        <w:pStyle w:val="BodyText"/>
        <w:spacing w:before="3"/>
      </w:pPr>
    </w:p>
    <w:p>
      <w:pPr>
        <w:pStyle w:val="ListParagraph"/>
        <w:numPr>
          <w:ilvl w:val="0"/>
          <w:numId w:val="1"/>
        </w:numPr>
        <w:tabs>
          <w:tab w:pos="820" w:val="left" w:leader="none"/>
        </w:tabs>
        <w:spacing w:line="240" w:lineRule="auto" w:before="0" w:after="0"/>
        <w:ind w:left="820" w:right="114" w:hanging="360"/>
        <w:jc w:val="both"/>
        <w:rPr>
          <w:sz w:val="22"/>
        </w:rPr>
      </w:pPr>
      <w:r>
        <w:rPr>
          <w:b/>
          <w:w w:val="110"/>
          <w:sz w:val="22"/>
        </w:rPr>
        <w:t>A</w:t>
      </w:r>
      <w:r>
        <w:rPr>
          <w:b/>
          <w:w w:val="110"/>
          <w:sz w:val="22"/>
        </w:rPr>
        <w:t> 30-day</w:t>
      </w:r>
      <w:r>
        <w:rPr>
          <w:b/>
          <w:w w:val="110"/>
          <w:sz w:val="22"/>
        </w:rPr>
        <w:t> public</w:t>
      </w:r>
      <w:r>
        <w:rPr>
          <w:b/>
          <w:w w:val="110"/>
          <w:sz w:val="22"/>
        </w:rPr>
        <w:t> comment</w:t>
      </w:r>
      <w:r>
        <w:rPr>
          <w:b/>
          <w:w w:val="110"/>
          <w:sz w:val="22"/>
        </w:rPr>
        <w:t> period</w:t>
      </w:r>
      <w:r>
        <w:rPr>
          <w:b/>
          <w:w w:val="110"/>
          <w:sz w:val="22"/>
        </w:rPr>
        <w:t> is</w:t>
      </w:r>
      <w:r>
        <w:rPr>
          <w:b/>
          <w:w w:val="110"/>
          <w:sz w:val="22"/>
        </w:rPr>
        <w:t> patently</w:t>
      </w:r>
      <w:r>
        <w:rPr>
          <w:b/>
          <w:w w:val="110"/>
          <w:sz w:val="22"/>
        </w:rPr>
        <w:t> inappropriate</w:t>
      </w:r>
      <w:r>
        <w:rPr>
          <w:b/>
          <w:w w:val="110"/>
          <w:sz w:val="22"/>
        </w:rPr>
        <w:t> for</w:t>
      </w:r>
      <w:r>
        <w:rPr>
          <w:b/>
          <w:w w:val="110"/>
          <w:sz w:val="22"/>
        </w:rPr>
        <w:t> a</w:t>
      </w:r>
      <w:r>
        <w:rPr>
          <w:b/>
          <w:w w:val="110"/>
          <w:sz w:val="22"/>
        </w:rPr>
        <w:t> rulemaking</w:t>
      </w:r>
      <w:r>
        <w:rPr>
          <w:b/>
          <w:w w:val="110"/>
          <w:sz w:val="22"/>
        </w:rPr>
        <w:t> of</w:t>
      </w:r>
      <w:r>
        <w:rPr>
          <w:b/>
          <w:w w:val="110"/>
          <w:sz w:val="22"/>
        </w:rPr>
        <w:t> this magnitude.</w:t>
      </w:r>
      <w:r>
        <w:rPr>
          <w:b/>
          <w:w w:val="110"/>
          <w:sz w:val="22"/>
        </w:rPr>
        <w:t> </w:t>
      </w:r>
      <w:r>
        <w:rPr>
          <w:w w:val="110"/>
          <w:sz w:val="22"/>
        </w:rPr>
        <w:t>By</w:t>
      </w:r>
      <w:r>
        <w:rPr>
          <w:w w:val="110"/>
          <w:sz w:val="22"/>
        </w:rPr>
        <w:t> regulation,</w:t>
      </w:r>
      <w:r>
        <w:rPr>
          <w:w w:val="110"/>
          <w:sz w:val="22"/>
        </w:rPr>
        <w:t> it is</w:t>
      </w:r>
      <w:r>
        <w:rPr>
          <w:w w:val="110"/>
          <w:sz w:val="22"/>
        </w:rPr>
        <w:t> </w:t>
      </w:r>
      <w:hyperlink r:id="rId12">
        <w:r>
          <w:rPr>
            <w:color w:val="467885"/>
            <w:w w:val="110"/>
            <w:sz w:val="22"/>
            <w:u w:val="single" w:color="467885"/>
          </w:rPr>
          <w:t>the</w:t>
        </w:r>
        <w:r>
          <w:rPr>
            <w:color w:val="467885"/>
            <w:w w:val="110"/>
            <w:sz w:val="22"/>
            <w:u w:val="single" w:color="467885"/>
          </w:rPr>
          <w:t> policy</w:t>
        </w:r>
        <w:r>
          <w:rPr>
            <w:color w:val="467885"/>
            <w:w w:val="110"/>
            <w:sz w:val="22"/>
            <w:u w:val="single" w:color="467885"/>
          </w:rPr>
          <w:t> of</w:t>
        </w:r>
        <w:r>
          <w:rPr>
            <w:color w:val="467885"/>
            <w:w w:val="110"/>
            <w:sz w:val="22"/>
            <w:u w:val="single" w:color="467885"/>
          </w:rPr>
          <w:t> HUD</w:t>
        </w:r>
      </w:hyperlink>
      <w:r>
        <w:rPr>
          <w:color w:val="467885"/>
          <w:w w:val="110"/>
          <w:sz w:val="22"/>
          <w:u w:val="none"/>
        </w:rPr>
        <w:t> </w:t>
      </w:r>
      <w:r>
        <w:rPr>
          <w:w w:val="110"/>
          <w:sz w:val="22"/>
          <w:u w:val="none"/>
        </w:rPr>
        <w:t>to</w:t>
      </w:r>
      <w:r>
        <w:rPr>
          <w:w w:val="110"/>
          <w:sz w:val="22"/>
          <w:u w:val="none"/>
        </w:rPr>
        <w:t> allow</w:t>
      </w:r>
      <w:r>
        <w:rPr>
          <w:w w:val="110"/>
          <w:sz w:val="22"/>
          <w:u w:val="none"/>
        </w:rPr>
        <w:t> 60 days</w:t>
      </w:r>
      <w:r>
        <w:rPr>
          <w:w w:val="110"/>
          <w:sz w:val="22"/>
          <w:u w:val="none"/>
        </w:rPr>
        <w:t> for</w:t>
      </w:r>
      <w:r>
        <w:rPr>
          <w:w w:val="110"/>
          <w:sz w:val="22"/>
          <w:u w:val="none"/>
        </w:rPr>
        <w:t> the</w:t>
      </w:r>
      <w:r>
        <w:rPr>
          <w:w w:val="110"/>
          <w:sz w:val="22"/>
          <w:u w:val="none"/>
        </w:rPr>
        <w:t> submission</w:t>
      </w:r>
      <w:r>
        <w:rPr>
          <w:w w:val="110"/>
          <w:sz w:val="22"/>
          <w:u w:val="none"/>
        </w:rPr>
        <w:t> of public</w:t>
      </w:r>
      <w:r>
        <w:rPr>
          <w:w w:val="110"/>
          <w:sz w:val="22"/>
          <w:u w:val="none"/>
        </w:rPr>
        <w:t> comments</w:t>
      </w:r>
      <w:r>
        <w:rPr>
          <w:w w:val="110"/>
          <w:sz w:val="22"/>
          <w:u w:val="none"/>
        </w:rPr>
        <w:t> on</w:t>
      </w:r>
      <w:r>
        <w:rPr>
          <w:w w:val="110"/>
          <w:sz w:val="22"/>
          <w:u w:val="none"/>
        </w:rPr>
        <w:t> proposed</w:t>
      </w:r>
      <w:r>
        <w:rPr>
          <w:w w:val="110"/>
          <w:sz w:val="22"/>
          <w:u w:val="none"/>
        </w:rPr>
        <w:t> rules.</w:t>
      </w:r>
      <w:r>
        <w:rPr>
          <w:w w:val="110"/>
          <w:sz w:val="22"/>
          <w:u w:val="none"/>
        </w:rPr>
        <w:t> However,</w:t>
      </w:r>
      <w:r>
        <w:rPr>
          <w:w w:val="110"/>
          <w:sz w:val="22"/>
          <w:u w:val="none"/>
        </w:rPr>
        <w:t> HUD</w:t>
      </w:r>
      <w:r>
        <w:rPr>
          <w:w w:val="110"/>
          <w:sz w:val="22"/>
          <w:u w:val="none"/>
        </w:rPr>
        <w:t> is</w:t>
      </w:r>
      <w:r>
        <w:rPr>
          <w:w w:val="110"/>
          <w:sz w:val="22"/>
          <w:u w:val="none"/>
        </w:rPr>
        <w:t> only</w:t>
      </w:r>
      <w:r>
        <w:rPr>
          <w:w w:val="110"/>
          <w:sz w:val="22"/>
          <w:u w:val="none"/>
        </w:rPr>
        <w:t> allowing</w:t>
      </w:r>
      <w:r>
        <w:rPr>
          <w:w w:val="110"/>
          <w:sz w:val="22"/>
          <w:u w:val="none"/>
        </w:rPr>
        <w:t> for</w:t>
      </w:r>
      <w:r>
        <w:rPr>
          <w:w w:val="110"/>
          <w:sz w:val="22"/>
          <w:u w:val="none"/>
        </w:rPr>
        <w:t> a</w:t>
      </w:r>
      <w:r>
        <w:rPr>
          <w:w w:val="110"/>
          <w:sz w:val="22"/>
          <w:u w:val="none"/>
        </w:rPr>
        <w:t> 30-day</w:t>
      </w:r>
      <w:r>
        <w:rPr>
          <w:w w:val="110"/>
          <w:sz w:val="22"/>
          <w:u w:val="none"/>
        </w:rPr>
        <w:t> public comment</w:t>
      </w:r>
      <w:r>
        <w:rPr>
          <w:w w:val="110"/>
          <w:sz w:val="22"/>
          <w:u w:val="none"/>
        </w:rPr>
        <w:t> period</w:t>
      </w:r>
      <w:r>
        <w:rPr>
          <w:w w:val="110"/>
          <w:sz w:val="22"/>
          <w:u w:val="none"/>
        </w:rPr>
        <w:t> for</w:t>
      </w:r>
      <w:r>
        <w:rPr>
          <w:w w:val="110"/>
          <w:sz w:val="22"/>
          <w:u w:val="none"/>
        </w:rPr>
        <w:t> this</w:t>
      </w:r>
      <w:r>
        <w:rPr>
          <w:w w:val="110"/>
          <w:sz w:val="22"/>
          <w:u w:val="none"/>
        </w:rPr>
        <w:t> proposed</w:t>
      </w:r>
      <w:r>
        <w:rPr>
          <w:w w:val="110"/>
          <w:sz w:val="22"/>
          <w:u w:val="none"/>
        </w:rPr>
        <w:t> rule.</w:t>
      </w:r>
      <w:r>
        <w:rPr>
          <w:w w:val="110"/>
          <w:sz w:val="22"/>
          <w:u w:val="none"/>
        </w:rPr>
        <w:t> Although</w:t>
      </w:r>
      <w:r>
        <w:rPr>
          <w:w w:val="110"/>
          <w:sz w:val="22"/>
          <w:u w:val="none"/>
        </w:rPr>
        <w:t> HUD</w:t>
      </w:r>
      <w:r>
        <w:rPr>
          <w:w w:val="110"/>
          <w:sz w:val="22"/>
          <w:u w:val="none"/>
        </w:rPr>
        <w:t> has</w:t>
      </w:r>
      <w:r>
        <w:rPr>
          <w:w w:val="110"/>
          <w:sz w:val="22"/>
          <w:u w:val="none"/>
        </w:rPr>
        <w:t> some</w:t>
      </w:r>
      <w:r>
        <w:rPr>
          <w:w w:val="110"/>
          <w:sz w:val="22"/>
          <w:u w:val="none"/>
        </w:rPr>
        <w:t> authority</w:t>
      </w:r>
      <w:r>
        <w:rPr>
          <w:w w:val="110"/>
          <w:sz w:val="22"/>
          <w:u w:val="none"/>
        </w:rPr>
        <w:t> to</w:t>
      </w:r>
      <w:r>
        <w:rPr>
          <w:w w:val="110"/>
          <w:sz w:val="22"/>
          <w:u w:val="none"/>
        </w:rPr>
        <w:t> waive </w:t>
      </w:r>
      <w:r>
        <w:rPr>
          <w:sz w:val="22"/>
          <w:u w:val="none"/>
        </w:rPr>
        <w:t>requirements like the one providing for a 60-day public comment period for good cause, no</w:t>
      </w:r>
      <w:r>
        <w:rPr>
          <w:spacing w:val="40"/>
          <w:w w:val="110"/>
          <w:sz w:val="22"/>
          <w:u w:val="none"/>
        </w:rPr>
        <w:t> </w:t>
      </w:r>
      <w:r>
        <w:rPr>
          <w:w w:val="110"/>
          <w:sz w:val="22"/>
          <w:u w:val="none"/>
        </w:rPr>
        <w:t>such</w:t>
      </w:r>
      <w:r>
        <w:rPr>
          <w:w w:val="110"/>
          <w:sz w:val="22"/>
          <w:u w:val="none"/>
        </w:rPr>
        <w:t> cause exists</w:t>
      </w:r>
      <w:r>
        <w:rPr>
          <w:w w:val="110"/>
          <w:sz w:val="22"/>
          <w:u w:val="none"/>
        </w:rPr>
        <w:t> here. HUD has</w:t>
      </w:r>
      <w:r>
        <w:rPr>
          <w:w w:val="110"/>
          <w:sz w:val="22"/>
          <w:u w:val="none"/>
        </w:rPr>
        <w:t> presented no</w:t>
      </w:r>
      <w:r>
        <w:rPr>
          <w:w w:val="110"/>
          <w:sz w:val="22"/>
          <w:u w:val="none"/>
        </w:rPr>
        <w:t> argument</w:t>
      </w:r>
      <w:r>
        <w:rPr>
          <w:w w:val="110"/>
          <w:sz w:val="22"/>
          <w:u w:val="none"/>
        </w:rPr>
        <w:t> for</w:t>
      </w:r>
      <w:r>
        <w:rPr>
          <w:w w:val="110"/>
          <w:sz w:val="22"/>
          <w:u w:val="none"/>
        </w:rPr>
        <w:t> why</w:t>
      </w:r>
      <w:r>
        <w:rPr>
          <w:w w:val="110"/>
          <w:sz w:val="22"/>
          <w:u w:val="none"/>
        </w:rPr>
        <w:t> there</w:t>
      </w:r>
      <w:r>
        <w:rPr>
          <w:w w:val="110"/>
          <w:sz w:val="22"/>
          <w:u w:val="none"/>
        </w:rPr>
        <w:t> is</w:t>
      </w:r>
      <w:r>
        <w:rPr>
          <w:w w:val="110"/>
          <w:sz w:val="22"/>
          <w:u w:val="none"/>
        </w:rPr>
        <w:t> good</w:t>
      </w:r>
      <w:r>
        <w:rPr>
          <w:w w:val="110"/>
          <w:sz w:val="22"/>
          <w:u w:val="none"/>
        </w:rPr>
        <w:t> cause to </w:t>
      </w:r>
      <w:r>
        <w:rPr>
          <w:spacing w:val="-2"/>
          <w:w w:val="110"/>
          <w:sz w:val="22"/>
          <w:u w:val="none"/>
        </w:rPr>
        <w:t>shorten</w:t>
      </w:r>
      <w:r>
        <w:rPr>
          <w:spacing w:val="-6"/>
          <w:w w:val="110"/>
          <w:sz w:val="22"/>
          <w:u w:val="none"/>
        </w:rPr>
        <w:t> </w:t>
      </w:r>
      <w:r>
        <w:rPr>
          <w:spacing w:val="-2"/>
          <w:w w:val="110"/>
          <w:sz w:val="22"/>
          <w:u w:val="none"/>
        </w:rPr>
        <w:t>the</w:t>
      </w:r>
      <w:r>
        <w:rPr>
          <w:spacing w:val="-6"/>
          <w:w w:val="110"/>
          <w:sz w:val="22"/>
          <w:u w:val="none"/>
        </w:rPr>
        <w:t> </w:t>
      </w:r>
      <w:r>
        <w:rPr>
          <w:spacing w:val="-2"/>
          <w:w w:val="110"/>
          <w:sz w:val="22"/>
          <w:u w:val="none"/>
        </w:rPr>
        <w:t>public</w:t>
      </w:r>
      <w:r>
        <w:rPr>
          <w:spacing w:val="-6"/>
          <w:w w:val="110"/>
          <w:sz w:val="22"/>
          <w:u w:val="none"/>
        </w:rPr>
        <w:t> </w:t>
      </w:r>
      <w:r>
        <w:rPr>
          <w:spacing w:val="-2"/>
          <w:w w:val="110"/>
          <w:sz w:val="22"/>
          <w:u w:val="none"/>
        </w:rPr>
        <w:t>comment</w:t>
      </w:r>
      <w:r>
        <w:rPr>
          <w:spacing w:val="-6"/>
          <w:w w:val="110"/>
          <w:sz w:val="22"/>
          <w:u w:val="none"/>
        </w:rPr>
        <w:t> </w:t>
      </w:r>
      <w:r>
        <w:rPr>
          <w:spacing w:val="-2"/>
          <w:w w:val="110"/>
          <w:sz w:val="22"/>
          <w:u w:val="none"/>
        </w:rPr>
        <w:t>period</w:t>
      </w:r>
      <w:r>
        <w:rPr>
          <w:spacing w:val="-6"/>
          <w:w w:val="110"/>
          <w:sz w:val="22"/>
          <w:u w:val="none"/>
        </w:rPr>
        <w:t> </w:t>
      </w:r>
      <w:r>
        <w:rPr>
          <w:spacing w:val="-2"/>
          <w:w w:val="110"/>
          <w:sz w:val="22"/>
          <w:u w:val="none"/>
        </w:rPr>
        <w:t>beyond</w:t>
      </w:r>
      <w:r>
        <w:rPr>
          <w:spacing w:val="-6"/>
          <w:w w:val="110"/>
          <w:sz w:val="22"/>
          <w:u w:val="none"/>
        </w:rPr>
        <w:t> </w:t>
      </w:r>
      <w:r>
        <w:rPr>
          <w:spacing w:val="-2"/>
          <w:w w:val="110"/>
          <w:sz w:val="22"/>
          <w:u w:val="none"/>
        </w:rPr>
        <w:t>its</w:t>
      </w:r>
      <w:r>
        <w:rPr>
          <w:spacing w:val="-6"/>
          <w:w w:val="110"/>
          <w:sz w:val="22"/>
          <w:u w:val="none"/>
        </w:rPr>
        <w:t> </w:t>
      </w:r>
      <w:r>
        <w:rPr>
          <w:spacing w:val="-2"/>
          <w:w w:val="110"/>
          <w:sz w:val="22"/>
          <w:u w:val="none"/>
        </w:rPr>
        <w:t>plainly</w:t>
      </w:r>
      <w:r>
        <w:rPr>
          <w:spacing w:val="-6"/>
          <w:w w:val="110"/>
          <w:sz w:val="22"/>
          <w:u w:val="none"/>
        </w:rPr>
        <w:t> </w:t>
      </w:r>
      <w:r>
        <w:rPr>
          <w:spacing w:val="-2"/>
          <w:w w:val="110"/>
          <w:sz w:val="22"/>
          <w:u w:val="none"/>
        </w:rPr>
        <w:t>specious</w:t>
      </w:r>
      <w:r>
        <w:rPr>
          <w:spacing w:val="-6"/>
          <w:w w:val="110"/>
          <w:sz w:val="22"/>
          <w:u w:val="none"/>
        </w:rPr>
        <w:t> </w:t>
      </w:r>
      <w:r>
        <w:rPr>
          <w:spacing w:val="-2"/>
          <w:w w:val="110"/>
          <w:sz w:val="22"/>
          <w:u w:val="none"/>
        </w:rPr>
        <w:t>substantive</w:t>
      </w:r>
      <w:r>
        <w:rPr>
          <w:spacing w:val="-6"/>
          <w:w w:val="110"/>
          <w:sz w:val="22"/>
          <w:u w:val="none"/>
        </w:rPr>
        <w:t> </w:t>
      </w:r>
      <w:r>
        <w:rPr>
          <w:spacing w:val="-2"/>
          <w:w w:val="110"/>
          <w:sz w:val="22"/>
          <w:u w:val="none"/>
        </w:rPr>
        <w:t>arguments</w:t>
      </w:r>
      <w:r>
        <w:rPr>
          <w:spacing w:val="-6"/>
          <w:w w:val="110"/>
          <w:sz w:val="22"/>
          <w:u w:val="none"/>
        </w:rPr>
        <w:t> </w:t>
      </w:r>
      <w:r>
        <w:rPr>
          <w:spacing w:val="-2"/>
          <w:w w:val="110"/>
          <w:sz w:val="22"/>
          <w:u w:val="none"/>
        </w:rPr>
        <w:t>for </w:t>
      </w:r>
      <w:r>
        <w:rPr>
          <w:sz w:val="22"/>
          <w:u w:val="none"/>
        </w:rPr>
        <w:t>why</w:t>
      </w:r>
      <w:r>
        <w:rPr>
          <w:spacing w:val="40"/>
          <w:sz w:val="22"/>
          <w:u w:val="none"/>
        </w:rPr>
        <w:t> </w:t>
      </w:r>
      <w:r>
        <w:rPr>
          <w:sz w:val="22"/>
          <w:u w:val="none"/>
        </w:rPr>
        <w:t>the</w:t>
      </w:r>
      <w:r>
        <w:rPr>
          <w:spacing w:val="40"/>
          <w:sz w:val="22"/>
          <w:u w:val="none"/>
        </w:rPr>
        <w:t> </w:t>
      </w:r>
      <w:r>
        <w:rPr>
          <w:sz w:val="22"/>
          <w:u w:val="none"/>
        </w:rPr>
        <w:t>existing</w:t>
      </w:r>
      <w:r>
        <w:rPr>
          <w:spacing w:val="40"/>
          <w:sz w:val="22"/>
          <w:u w:val="none"/>
        </w:rPr>
        <w:t> </w:t>
      </w:r>
      <w:r>
        <w:rPr>
          <w:sz w:val="22"/>
          <w:u w:val="none"/>
        </w:rPr>
        <w:t>requirements</w:t>
      </w:r>
      <w:r>
        <w:rPr>
          <w:spacing w:val="40"/>
          <w:sz w:val="22"/>
          <w:u w:val="none"/>
        </w:rPr>
        <w:t> </w:t>
      </w:r>
      <w:r>
        <w:rPr>
          <w:sz w:val="22"/>
          <w:u w:val="none"/>
        </w:rPr>
        <w:t>are</w:t>
      </w:r>
      <w:r>
        <w:rPr>
          <w:spacing w:val="40"/>
          <w:sz w:val="22"/>
          <w:u w:val="none"/>
        </w:rPr>
        <w:t> </w:t>
      </w:r>
      <w:r>
        <w:rPr>
          <w:sz w:val="22"/>
          <w:u w:val="none"/>
        </w:rPr>
        <w:t>unlawful</w:t>
      </w:r>
      <w:r>
        <w:rPr>
          <w:spacing w:val="40"/>
          <w:sz w:val="22"/>
          <w:u w:val="none"/>
        </w:rPr>
        <w:t> </w:t>
      </w:r>
      <w:r>
        <w:rPr>
          <w:sz w:val="22"/>
          <w:u w:val="none"/>
        </w:rPr>
        <w:t>and</w:t>
      </w:r>
      <w:r>
        <w:rPr>
          <w:spacing w:val="40"/>
          <w:sz w:val="22"/>
          <w:u w:val="none"/>
        </w:rPr>
        <w:t> </w:t>
      </w:r>
      <w:r>
        <w:rPr>
          <w:sz w:val="22"/>
          <w:u w:val="none"/>
        </w:rPr>
        <w:t>impose</w:t>
      </w:r>
      <w:r>
        <w:rPr>
          <w:spacing w:val="40"/>
          <w:sz w:val="22"/>
          <w:u w:val="none"/>
        </w:rPr>
        <w:t> </w:t>
      </w:r>
      <w:r>
        <w:rPr>
          <w:sz w:val="22"/>
          <w:u w:val="none"/>
        </w:rPr>
        <w:t>undue</w:t>
      </w:r>
      <w:r>
        <w:rPr>
          <w:spacing w:val="40"/>
          <w:sz w:val="22"/>
          <w:u w:val="none"/>
        </w:rPr>
        <w:t> </w:t>
      </w:r>
      <w:r>
        <w:rPr>
          <w:sz w:val="22"/>
          <w:u w:val="none"/>
        </w:rPr>
        <w:t>regulatory</w:t>
      </w:r>
      <w:r>
        <w:rPr>
          <w:spacing w:val="40"/>
          <w:sz w:val="22"/>
          <w:u w:val="none"/>
        </w:rPr>
        <w:t> </w:t>
      </w:r>
      <w:r>
        <w:rPr>
          <w:sz w:val="22"/>
          <w:u w:val="none"/>
        </w:rPr>
        <w:t>burden.</w:t>
      </w:r>
      <w:r>
        <w:rPr>
          <w:spacing w:val="40"/>
          <w:sz w:val="22"/>
          <w:u w:val="none"/>
        </w:rPr>
        <w:t> </w:t>
      </w:r>
      <w:r>
        <w:rPr>
          <w:sz w:val="22"/>
          <w:u w:val="none"/>
        </w:rPr>
        <w:t>There</w:t>
      </w:r>
      <w:r>
        <w:rPr>
          <w:spacing w:val="40"/>
          <w:sz w:val="22"/>
          <w:u w:val="none"/>
        </w:rPr>
        <w:t> </w:t>
      </w:r>
      <w:r>
        <w:rPr>
          <w:sz w:val="22"/>
          <w:u w:val="none"/>
        </w:rPr>
        <w:t>is </w:t>
      </w:r>
      <w:r>
        <w:rPr>
          <w:w w:val="110"/>
          <w:sz w:val="22"/>
          <w:u w:val="none"/>
        </w:rPr>
        <w:t>no</w:t>
      </w:r>
      <w:r>
        <w:rPr>
          <w:spacing w:val="-1"/>
          <w:w w:val="110"/>
          <w:sz w:val="22"/>
          <w:u w:val="none"/>
        </w:rPr>
        <w:t> </w:t>
      </w:r>
      <w:r>
        <w:rPr>
          <w:w w:val="110"/>
          <w:sz w:val="22"/>
          <w:u w:val="none"/>
        </w:rPr>
        <w:t>credible</w:t>
      </w:r>
      <w:r>
        <w:rPr>
          <w:spacing w:val="-1"/>
          <w:w w:val="110"/>
          <w:sz w:val="22"/>
          <w:u w:val="none"/>
        </w:rPr>
        <w:t> </w:t>
      </w:r>
      <w:r>
        <w:rPr>
          <w:w w:val="110"/>
          <w:sz w:val="22"/>
          <w:u w:val="none"/>
        </w:rPr>
        <w:t>case</w:t>
      </w:r>
      <w:r>
        <w:rPr>
          <w:spacing w:val="-2"/>
          <w:w w:val="110"/>
          <w:sz w:val="22"/>
          <w:u w:val="none"/>
        </w:rPr>
        <w:t> </w:t>
      </w:r>
      <w:r>
        <w:rPr>
          <w:w w:val="110"/>
          <w:sz w:val="22"/>
          <w:u w:val="none"/>
        </w:rPr>
        <w:t>to</w:t>
      </w:r>
      <w:r>
        <w:rPr>
          <w:spacing w:val="-1"/>
          <w:w w:val="110"/>
          <w:sz w:val="22"/>
          <w:u w:val="none"/>
        </w:rPr>
        <w:t> </w:t>
      </w:r>
      <w:r>
        <w:rPr>
          <w:w w:val="110"/>
          <w:sz w:val="22"/>
          <w:u w:val="none"/>
        </w:rPr>
        <w:t>be</w:t>
      </w:r>
      <w:r>
        <w:rPr>
          <w:spacing w:val="-2"/>
          <w:w w:val="110"/>
          <w:sz w:val="22"/>
          <w:u w:val="none"/>
        </w:rPr>
        <w:t> </w:t>
      </w:r>
      <w:r>
        <w:rPr>
          <w:w w:val="110"/>
          <w:sz w:val="22"/>
          <w:u w:val="none"/>
        </w:rPr>
        <w:t>made</w:t>
      </w:r>
      <w:r>
        <w:rPr>
          <w:spacing w:val="-2"/>
          <w:w w:val="110"/>
          <w:sz w:val="22"/>
          <w:u w:val="none"/>
        </w:rPr>
        <w:t> </w:t>
      </w:r>
      <w:r>
        <w:rPr>
          <w:w w:val="110"/>
          <w:sz w:val="22"/>
          <w:u w:val="none"/>
        </w:rPr>
        <w:t>that</w:t>
      </w:r>
      <w:r>
        <w:rPr>
          <w:spacing w:val="-1"/>
          <w:w w:val="110"/>
          <w:sz w:val="22"/>
          <w:u w:val="none"/>
        </w:rPr>
        <w:t> </w:t>
      </w:r>
      <w:r>
        <w:rPr>
          <w:w w:val="110"/>
          <w:sz w:val="22"/>
          <w:u w:val="none"/>
        </w:rPr>
        <w:t>the</w:t>
      </w:r>
      <w:r>
        <w:rPr>
          <w:spacing w:val="-2"/>
          <w:w w:val="110"/>
          <w:sz w:val="22"/>
          <w:u w:val="none"/>
        </w:rPr>
        <w:t> </w:t>
      </w:r>
      <w:r>
        <w:rPr>
          <w:w w:val="110"/>
          <w:sz w:val="22"/>
          <w:u w:val="none"/>
        </w:rPr>
        <w:t>repeal</w:t>
      </w:r>
      <w:r>
        <w:rPr>
          <w:spacing w:val="-1"/>
          <w:w w:val="110"/>
          <w:sz w:val="22"/>
          <w:u w:val="none"/>
        </w:rPr>
        <w:t> </w:t>
      </w:r>
      <w:r>
        <w:rPr>
          <w:w w:val="110"/>
          <w:sz w:val="22"/>
          <w:u w:val="none"/>
        </w:rPr>
        <w:t>of</w:t>
      </w:r>
      <w:r>
        <w:rPr>
          <w:spacing w:val="-2"/>
          <w:w w:val="110"/>
          <w:sz w:val="22"/>
          <w:u w:val="none"/>
        </w:rPr>
        <w:t> </w:t>
      </w:r>
      <w:r>
        <w:rPr>
          <w:w w:val="110"/>
          <w:sz w:val="22"/>
          <w:u w:val="none"/>
        </w:rPr>
        <w:t>requirements</w:t>
      </w:r>
      <w:r>
        <w:rPr>
          <w:spacing w:val="-2"/>
          <w:w w:val="110"/>
          <w:sz w:val="22"/>
          <w:u w:val="none"/>
        </w:rPr>
        <w:t> </w:t>
      </w:r>
      <w:r>
        <w:rPr>
          <w:w w:val="110"/>
          <w:sz w:val="22"/>
          <w:u w:val="none"/>
        </w:rPr>
        <w:t>that</w:t>
      </w:r>
      <w:r>
        <w:rPr>
          <w:spacing w:val="-2"/>
          <w:w w:val="110"/>
          <w:sz w:val="22"/>
          <w:u w:val="none"/>
        </w:rPr>
        <w:t> </w:t>
      </w:r>
      <w:r>
        <w:rPr>
          <w:w w:val="110"/>
          <w:sz w:val="22"/>
          <w:u w:val="none"/>
        </w:rPr>
        <w:t>have</w:t>
      </w:r>
      <w:r>
        <w:rPr>
          <w:spacing w:val="-2"/>
          <w:w w:val="110"/>
          <w:sz w:val="22"/>
          <w:u w:val="none"/>
        </w:rPr>
        <w:t> </w:t>
      </w:r>
      <w:r>
        <w:rPr>
          <w:w w:val="110"/>
          <w:sz w:val="22"/>
          <w:u w:val="none"/>
        </w:rPr>
        <w:t>existed</w:t>
      </w:r>
      <w:r>
        <w:rPr>
          <w:spacing w:val="-1"/>
          <w:w w:val="110"/>
          <w:sz w:val="22"/>
          <w:u w:val="none"/>
        </w:rPr>
        <w:t> </w:t>
      </w:r>
      <w:r>
        <w:rPr>
          <w:w w:val="110"/>
          <w:sz w:val="22"/>
          <w:u w:val="none"/>
        </w:rPr>
        <w:t>since</w:t>
      </w:r>
      <w:r>
        <w:rPr>
          <w:spacing w:val="-1"/>
          <w:w w:val="110"/>
          <w:sz w:val="22"/>
          <w:u w:val="none"/>
        </w:rPr>
        <w:t> </w:t>
      </w:r>
      <w:r>
        <w:rPr>
          <w:w w:val="110"/>
          <w:sz w:val="22"/>
          <w:u w:val="none"/>
        </w:rPr>
        <w:t>the </w:t>
      </w:r>
      <w:r>
        <w:rPr>
          <w:sz w:val="22"/>
          <w:u w:val="none"/>
        </w:rPr>
        <w:t>1970s is so urgent that it necessitates forcing the wide range of stakeholders affected by the </w:t>
      </w:r>
      <w:r>
        <w:rPr>
          <w:w w:val="110"/>
          <w:sz w:val="22"/>
          <w:u w:val="none"/>
        </w:rPr>
        <w:t>rescission</w:t>
      </w:r>
      <w:r>
        <w:rPr>
          <w:spacing w:val="-10"/>
          <w:w w:val="110"/>
          <w:sz w:val="22"/>
          <w:u w:val="none"/>
        </w:rPr>
        <w:t> </w:t>
      </w:r>
      <w:r>
        <w:rPr>
          <w:w w:val="110"/>
          <w:sz w:val="22"/>
          <w:u w:val="none"/>
        </w:rPr>
        <w:t>to</w:t>
      </w:r>
      <w:r>
        <w:rPr>
          <w:spacing w:val="-9"/>
          <w:w w:val="110"/>
          <w:sz w:val="22"/>
          <w:u w:val="none"/>
        </w:rPr>
        <w:t> </w:t>
      </w:r>
      <w:r>
        <w:rPr>
          <w:w w:val="110"/>
          <w:sz w:val="22"/>
          <w:u w:val="none"/>
        </w:rPr>
        <w:t>scramble</w:t>
      </w:r>
      <w:r>
        <w:rPr>
          <w:spacing w:val="-9"/>
          <w:w w:val="110"/>
          <w:sz w:val="22"/>
          <w:u w:val="none"/>
        </w:rPr>
        <w:t> </w:t>
      </w:r>
      <w:r>
        <w:rPr>
          <w:w w:val="110"/>
          <w:sz w:val="22"/>
          <w:u w:val="none"/>
        </w:rPr>
        <w:t>to</w:t>
      </w:r>
      <w:r>
        <w:rPr>
          <w:spacing w:val="-8"/>
          <w:w w:val="110"/>
          <w:sz w:val="22"/>
          <w:u w:val="none"/>
        </w:rPr>
        <w:t> </w:t>
      </w:r>
      <w:r>
        <w:rPr>
          <w:w w:val="110"/>
          <w:sz w:val="22"/>
          <w:u w:val="none"/>
        </w:rPr>
        <w:t>put</w:t>
      </w:r>
      <w:r>
        <w:rPr>
          <w:spacing w:val="-9"/>
          <w:w w:val="110"/>
          <w:sz w:val="22"/>
          <w:u w:val="none"/>
        </w:rPr>
        <w:t> </w:t>
      </w:r>
      <w:r>
        <w:rPr>
          <w:w w:val="110"/>
          <w:sz w:val="22"/>
          <w:u w:val="none"/>
        </w:rPr>
        <w:t>together</w:t>
      </w:r>
      <w:r>
        <w:rPr>
          <w:spacing w:val="-8"/>
          <w:w w:val="110"/>
          <w:sz w:val="22"/>
          <w:u w:val="none"/>
        </w:rPr>
        <w:t> </w:t>
      </w:r>
      <w:r>
        <w:rPr>
          <w:w w:val="110"/>
          <w:sz w:val="22"/>
          <w:u w:val="none"/>
        </w:rPr>
        <w:t>their</w:t>
      </w:r>
      <w:r>
        <w:rPr>
          <w:spacing w:val="-8"/>
          <w:w w:val="110"/>
          <w:sz w:val="22"/>
          <w:u w:val="none"/>
        </w:rPr>
        <w:t> </w:t>
      </w:r>
      <w:r>
        <w:rPr>
          <w:w w:val="110"/>
          <w:sz w:val="22"/>
          <w:u w:val="none"/>
        </w:rPr>
        <w:t>comment</w:t>
      </w:r>
      <w:r>
        <w:rPr>
          <w:spacing w:val="-9"/>
          <w:w w:val="110"/>
          <w:sz w:val="22"/>
          <w:u w:val="none"/>
        </w:rPr>
        <w:t> </w:t>
      </w:r>
      <w:r>
        <w:rPr>
          <w:w w:val="110"/>
          <w:sz w:val="22"/>
          <w:u w:val="none"/>
        </w:rPr>
        <w:t>letters,</w:t>
      </w:r>
      <w:r>
        <w:rPr>
          <w:spacing w:val="-10"/>
          <w:w w:val="110"/>
          <w:sz w:val="22"/>
          <w:u w:val="none"/>
        </w:rPr>
        <w:t> </w:t>
      </w:r>
      <w:r>
        <w:rPr>
          <w:w w:val="110"/>
          <w:sz w:val="22"/>
          <w:u w:val="none"/>
        </w:rPr>
        <w:t>many</w:t>
      </w:r>
      <w:r>
        <w:rPr>
          <w:spacing w:val="-8"/>
          <w:w w:val="110"/>
          <w:sz w:val="22"/>
          <w:u w:val="none"/>
        </w:rPr>
        <w:t> </w:t>
      </w:r>
      <w:r>
        <w:rPr>
          <w:w w:val="110"/>
          <w:sz w:val="22"/>
          <w:u w:val="none"/>
        </w:rPr>
        <w:t>of</w:t>
      </w:r>
      <w:r>
        <w:rPr>
          <w:spacing w:val="-8"/>
          <w:w w:val="110"/>
          <w:sz w:val="22"/>
          <w:u w:val="none"/>
        </w:rPr>
        <w:t> </w:t>
      </w:r>
      <w:r>
        <w:rPr>
          <w:w w:val="110"/>
          <w:sz w:val="22"/>
          <w:u w:val="none"/>
        </w:rPr>
        <w:t>which</w:t>
      </w:r>
      <w:r>
        <w:rPr>
          <w:spacing w:val="-8"/>
          <w:w w:val="110"/>
          <w:sz w:val="22"/>
          <w:u w:val="none"/>
        </w:rPr>
        <w:t> </w:t>
      </w:r>
      <w:r>
        <w:rPr>
          <w:w w:val="110"/>
          <w:sz w:val="22"/>
          <w:u w:val="none"/>
        </w:rPr>
        <w:t>will</w:t>
      </w:r>
      <w:r>
        <w:rPr>
          <w:spacing w:val="-10"/>
          <w:w w:val="110"/>
          <w:sz w:val="22"/>
          <w:u w:val="none"/>
        </w:rPr>
        <w:t> </w:t>
      </w:r>
      <w:r>
        <w:rPr>
          <w:w w:val="110"/>
          <w:sz w:val="22"/>
          <w:u w:val="none"/>
        </w:rPr>
        <w:t>present complex</w:t>
      </w:r>
      <w:r>
        <w:rPr>
          <w:spacing w:val="-13"/>
          <w:w w:val="110"/>
          <w:sz w:val="22"/>
          <w:u w:val="none"/>
        </w:rPr>
        <w:t> </w:t>
      </w:r>
      <w:r>
        <w:rPr>
          <w:w w:val="110"/>
          <w:sz w:val="22"/>
          <w:u w:val="none"/>
        </w:rPr>
        <w:t>legal</w:t>
      </w:r>
      <w:r>
        <w:rPr>
          <w:spacing w:val="-14"/>
          <w:w w:val="110"/>
          <w:sz w:val="22"/>
          <w:u w:val="none"/>
        </w:rPr>
        <w:t> </w:t>
      </w:r>
      <w:r>
        <w:rPr>
          <w:w w:val="110"/>
          <w:sz w:val="22"/>
          <w:u w:val="none"/>
        </w:rPr>
        <w:t>and</w:t>
      </w:r>
      <w:r>
        <w:rPr>
          <w:spacing w:val="-12"/>
          <w:w w:val="110"/>
          <w:sz w:val="22"/>
          <w:u w:val="none"/>
        </w:rPr>
        <w:t> </w:t>
      </w:r>
      <w:r>
        <w:rPr>
          <w:w w:val="110"/>
          <w:sz w:val="22"/>
          <w:u w:val="none"/>
        </w:rPr>
        <w:t>factual</w:t>
      </w:r>
      <w:r>
        <w:rPr>
          <w:spacing w:val="-14"/>
          <w:w w:val="110"/>
          <w:sz w:val="22"/>
          <w:u w:val="none"/>
        </w:rPr>
        <w:t> </w:t>
      </w:r>
      <w:r>
        <w:rPr>
          <w:w w:val="110"/>
          <w:sz w:val="22"/>
          <w:u w:val="none"/>
        </w:rPr>
        <w:t>arguments,</w:t>
      </w:r>
      <w:r>
        <w:rPr>
          <w:spacing w:val="-14"/>
          <w:w w:val="110"/>
          <w:sz w:val="22"/>
          <w:u w:val="none"/>
        </w:rPr>
        <w:t> </w:t>
      </w:r>
      <w:r>
        <w:rPr>
          <w:w w:val="110"/>
          <w:sz w:val="22"/>
          <w:u w:val="none"/>
        </w:rPr>
        <w:t>in</w:t>
      </w:r>
      <w:r>
        <w:rPr>
          <w:spacing w:val="-12"/>
          <w:w w:val="110"/>
          <w:sz w:val="22"/>
          <w:u w:val="none"/>
        </w:rPr>
        <w:t> </w:t>
      </w:r>
      <w:r>
        <w:rPr>
          <w:w w:val="110"/>
          <w:sz w:val="22"/>
          <w:u w:val="none"/>
        </w:rPr>
        <w:t>such</w:t>
      </w:r>
      <w:r>
        <w:rPr>
          <w:spacing w:val="-14"/>
          <w:w w:val="110"/>
          <w:sz w:val="22"/>
          <w:u w:val="none"/>
        </w:rPr>
        <w:t> </w:t>
      </w:r>
      <w:r>
        <w:rPr>
          <w:w w:val="110"/>
          <w:sz w:val="22"/>
          <w:u w:val="none"/>
        </w:rPr>
        <w:t>a</w:t>
      </w:r>
      <w:r>
        <w:rPr>
          <w:spacing w:val="-11"/>
          <w:w w:val="110"/>
          <w:sz w:val="22"/>
          <w:u w:val="none"/>
        </w:rPr>
        <w:t> </w:t>
      </w:r>
      <w:r>
        <w:rPr>
          <w:w w:val="110"/>
          <w:sz w:val="22"/>
          <w:u w:val="none"/>
        </w:rPr>
        <w:t>compressed</w:t>
      </w:r>
      <w:r>
        <w:rPr>
          <w:spacing w:val="-13"/>
          <w:w w:val="110"/>
          <w:sz w:val="22"/>
          <w:u w:val="none"/>
        </w:rPr>
        <w:t> </w:t>
      </w:r>
      <w:r>
        <w:rPr>
          <w:w w:val="110"/>
          <w:sz w:val="22"/>
          <w:u w:val="none"/>
        </w:rPr>
        <w:t>period</w:t>
      </w:r>
      <w:r>
        <w:rPr>
          <w:spacing w:val="-13"/>
          <w:w w:val="110"/>
          <w:sz w:val="22"/>
          <w:u w:val="none"/>
        </w:rPr>
        <w:t> </w:t>
      </w:r>
      <w:r>
        <w:rPr>
          <w:w w:val="110"/>
          <w:sz w:val="22"/>
          <w:u w:val="none"/>
        </w:rPr>
        <w:t>of</w:t>
      </w:r>
      <w:r>
        <w:rPr>
          <w:spacing w:val="-13"/>
          <w:w w:val="110"/>
          <w:sz w:val="22"/>
          <w:u w:val="none"/>
        </w:rPr>
        <w:t> </w:t>
      </w:r>
      <w:r>
        <w:rPr>
          <w:w w:val="110"/>
          <w:sz w:val="22"/>
          <w:u w:val="none"/>
        </w:rPr>
        <w:t>time.</w:t>
      </w:r>
    </w:p>
    <w:p>
      <w:pPr>
        <w:pStyle w:val="BodyText"/>
        <w:spacing w:before="4"/>
      </w:pPr>
    </w:p>
    <w:p>
      <w:pPr>
        <w:pStyle w:val="ListParagraph"/>
        <w:numPr>
          <w:ilvl w:val="0"/>
          <w:numId w:val="1"/>
        </w:numPr>
        <w:tabs>
          <w:tab w:pos="820" w:val="left" w:leader="none"/>
        </w:tabs>
        <w:spacing w:line="240" w:lineRule="auto" w:before="0" w:after="0"/>
        <w:ind w:left="820" w:right="113" w:hanging="360"/>
        <w:jc w:val="both"/>
        <w:rPr>
          <w:sz w:val="22"/>
        </w:rPr>
      </w:pPr>
      <w:r>
        <w:rPr>
          <w:b/>
          <w:w w:val="105"/>
          <w:sz w:val="22"/>
        </w:rPr>
        <w:t>It</w:t>
      </w:r>
      <w:r>
        <w:rPr>
          <w:b/>
          <w:spacing w:val="40"/>
          <w:w w:val="105"/>
          <w:sz w:val="22"/>
        </w:rPr>
        <w:t> </w:t>
      </w:r>
      <w:r>
        <w:rPr>
          <w:b/>
          <w:w w:val="105"/>
          <w:sz w:val="22"/>
        </w:rPr>
        <w:t>is</w:t>
      </w:r>
      <w:r>
        <w:rPr>
          <w:b/>
          <w:spacing w:val="40"/>
          <w:w w:val="105"/>
          <w:sz w:val="22"/>
        </w:rPr>
        <w:t> </w:t>
      </w:r>
      <w:r>
        <w:rPr>
          <w:b/>
          <w:w w:val="105"/>
          <w:sz w:val="22"/>
        </w:rPr>
        <w:t>critical</w:t>
      </w:r>
      <w:r>
        <w:rPr>
          <w:b/>
          <w:spacing w:val="40"/>
          <w:w w:val="105"/>
          <w:sz w:val="22"/>
        </w:rPr>
        <w:t> </w:t>
      </w:r>
      <w:r>
        <w:rPr>
          <w:b/>
          <w:w w:val="105"/>
          <w:sz w:val="22"/>
        </w:rPr>
        <w:t>that</w:t>
      </w:r>
      <w:r>
        <w:rPr>
          <w:b/>
          <w:spacing w:val="40"/>
          <w:w w:val="105"/>
          <w:sz w:val="22"/>
        </w:rPr>
        <w:t> </w:t>
      </w:r>
      <w:r>
        <w:rPr>
          <w:b/>
          <w:w w:val="105"/>
          <w:sz w:val="22"/>
        </w:rPr>
        <w:t>civil</w:t>
      </w:r>
      <w:r>
        <w:rPr>
          <w:b/>
          <w:spacing w:val="40"/>
          <w:w w:val="105"/>
          <w:sz w:val="22"/>
        </w:rPr>
        <w:t> </w:t>
      </w:r>
      <w:r>
        <w:rPr>
          <w:b/>
          <w:w w:val="105"/>
          <w:sz w:val="22"/>
        </w:rPr>
        <w:t>rights</w:t>
      </w:r>
      <w:r>
        <w:rPr>
          <w:b/>
          <w:spacing w:val="40"/>
          <w:w w:val="105"/>
          <w:sz w:val="22"/>
        </w:rPr>
        <w:t> </w:t>
      </w:r>
      <w:r>
        <w:rPr>
          <w:b/>
          <w:w w:val="105"/>
          <w:sz w:val="22"/>
        </w:rPr>
        <w:t>advocates,</w:t>
      </w:r>
      <w:r>
        <w:rPr>
          <w:b/>
          <w:spacing w:val="40"/>
          <w:w w:val="105"/>
          <w:sz w:val="22"/>
        </w:rPr>
        <w:t> </w:t>
      </w:r>
      <w:r>
        <w:rPr>
          <w:b/>
          <w:w w:val="105"/>
          <w:sz w:val="22"/>
        </w:rPr>
        <w:t>tenants,</w:t>
      </w:r>
      <w:r>
        <w:rPr>
          <w:b/>
          <w:spacing w:val="40"/>
          <w:w w:val="105"/>
          <w:sz w:val="22"/>
        </w:rPr>
        <w:t> </w:t>
      </w:r>
      <w:r>
        <w:rPr>
          <w:b/>
          <w:w w:val="105"/>
          <w:sz w:val="22"/>
        </w:rPr>
        <w:t>housing</w:t>
      </w:r>
      <w:r>
        <w:rPr>
          <w:b/>
          <w:spacing w:val="40"/>
          <w:w w:val="105"/>
          <w:sz w:val="22"/>
        </w:rPr>
        <w:t> </w:t>
      </w:r>
      <w:r>
        <w:rPr>
          <w:b/>
          <w:w w:val="105"/>
          <w:sz w:val="22"/>
        </w:rPr>
        <w:t>justice</w:t>
      </w:r>
      <w:r>
        <w:rPr>
          <w:b/>
          <w:spacing w:val="40"/>
          <w:w w:val="105"/>
          <w:sz w:val="22"/>
        </w:rPr>
        <w:t> </w:t>
      </w:r>
      <w:r>
        <w:rPr>
          <w:b/>
          <w:w w:val="105"/>
          <w:sz w:val="22"/>
        </w:rPr>
        <w:t>organizers,</w:t>
      </w:r>
      <w:r>
        <w:rPr>
          <w:b/>
          <w:spacing w:val="40"/>
          <w:w w:val="105"/>
          <w:sz w:val="22"/>
        </w:rPr>
        <w:t> </w:t>
      </w:r>
      <w:r>
        <w:rPr>
          <w:b/>
          <w:w w:val="105"/>
          <w:sz w:val="22"/>
        </w:rPr>
        <w:t>and affordable</w:t>
      </w:r>
      <w:r>
        <w:rPr>
          <w:b/>
          <w:w w:val="105"/>
          <w:sz w:val="22"/>
        </w:rPr>
        <w:t> housing</w:t>
      </w:r>
      <w:r>
        <w:rPr>
          <w:b/>
          <w:w w:val="105"/>
          <w:sz w:val="22"/>
        </w:rPr>
        <w:t> developers</w:t>
      </w:r>
      <w:r>
        <w:rPr>
          <w:b/>
          <w:w w:val="105"/>
          <w:sz w:val="22"/>
        </w:rPr>
        <w:t> unite</w:t>
      </w:r>
      <w:r>
        <w:rPr>
          <w:b/>
          <w:w w:val="105"/>
          <w:sz w:val="22"/>
        </w:rPr>
        <w:t> to</w:t>
      </w:r>
      <w:r>
        <w:rPr>
          <w:b/>
          <w:w w:val="105"/>
          <w:sz w:val="22"/>
        </w:rPr>
        <w:t> fight</w:t>
      </w:r>
      <w:r>
        <w:rPr>
          <w:b/>
          <w:w w:val="105"/>
          <w:sz w:val="22"/>
        </w:rPr>
        <w:t> back</w:t>
      </w:r>
      <w:r>
        <w:rPr>
          <w:b/>
          <w:w w:val="105"/>
          <w:sz w:val="22"/>
        </w:rPr>
        <w:t> against</w:t>
      </w:r>
      <w:r>
        <w:rPr>
          <w:b/>
          <w:w w:val="105"/>
          <w:sz w:val="22"/>
        </w:rPr>
        <w:t> the</w:t>
      </w:r>
      <w:r>
        <w:rPr>
          <w:b/>
          <w:w w:val="105"/>
          <w:sz w:val="22"/>
        </w:rPr>
        <w:t> proposed</w:t>
      </w:r>
      <w:r>
        <w:rPr>
          <w:b/>
          <w:w w:val="105"/>
          <w:sz w:val="22"/>
        </w:rPr>
        <w:t> rule.</w:t>
      </w:r>
      <w:r>
        <w:rPr>
          <w:b/>
          <w:w w:val="105"/>
          <w:sz w:val="22"/>
        </w:rPr>
        <w:t> </w:t>
      </w:r>
      <w:r>
        <w:rPr>
          <w:w w:val="105"/>
          <w:sz w:val="22"/>
        </w:rPr>
        <w:t>This</w:t>
      </w:r>
      <w:r>
        <w:rPr>
          <w:spacing w:val="40"/>
          <w:w w:val="105"/>
          <w:sz w:val="22"/>
        </w:rPr>
        <w:t> </w:t>
      </w:r>
      <w:r>
        <w:rPr>
          <w:w w:val="105"/>
          <w:sz w:val="22"/>
        </w:rPr>
        <w:t>proposed</w:t>
      </w:r>
      <w:r>
        <w:rPr>
          <w:w w:val="105"/>
          <w:sz w:val="22"/>
        </w:rPr>
        <w:t> rule</w:t>
      </w:r>
      <w:r>
        <w:rPr>
          <w:w w:val="105"/>
          <w:sz w:val="22"/>
        </w:rPr>
        <w:t> is</w:t>
      </w:r>
      <w:r>
        <w:rPr>
          <w:w w:val="105"/>
          <w:sz w:val="22"/>
        </w:rPr>
        <w:t> not</w:t>
      </w:r>
      <w:r>
        <w:rPr>
          <w:w w:val="105"/>
          <w:sz w:val="22"/>
        </w:rPr>
        <w:t> just</w:t>
      </w:r>
      <w:r>
        <w:rPr>
          <w:w w:val="105"/>
          <w:sz w:val="22"/>
        </w:rPr>
        <w:t> an</w:t>
      </w:r>
      <w:r>
        <w:rPr>
          <w:w w:val="105"/>
          <w:sz w:val="22"/>
        </w:rPr>
        <w:t> attack</w:t>
      </w:r>
      <w:r>
        <w:rPr>
          <w:w w:val="105"/>
          <w:sz w:val="22"/>
        </w:rPr>
        <w:t> on</w:t>
      </w:r>
      <w:r>
        <w:rPr>
          <w:w w:val="105"/>
          <w:sz w:val="22"/>
        </w:rPr>
        <w:t> an</w:t>
      </w:r>
      <w:r>
        <w:rPr>
          <w:w w:val="105"/>
          <w:sz w:val="22"/>
        </w:rPr>
        <w:t> important</w:t>
      </w:r>
      <w:r>
        <w:rPr>
          <w:w w:val="105"/>
          <w:sz w:val="22"/>
        </w:rPr>
        <w:t> but</w:t>
      </w:r>
      <w:r>
        <w:rPr>
          <w:w w:val="105"/>
          <w:sz w:val="22"/>
        </w:rPr>
        <w:t> low-profile</w:t>
      </w:r>
      <w:r>
        <w:rPr>
          <w:w w:val="105"/>
          <w:sz w:val="22"/>
        </w:rPr>
        <w:t> piece</w:t>
      </w:r>
      <w:r>
        <w:rPr>
          <w:w w:val="105"/>
          <w:sz w:val="22"/>
        </w:rPr>
        <w:t> of</w:t>
      </w:r>
      <w:r>
        <w:rPr>
          <w:w w:val="105"/>
          <w:sz w:val="22"/>
        </w:rPr>
        <w:t> civil</w:t>
      </w:r>
      <w:r>
        <w:rPr>
          <w:w w:val="105"/>
          <w:sz w:val="22"/>
        </w:rPr>
        <w:t> rights regulatory policy. It is also an attack on the ability of all levels of government to advance racial</w:t>
      </w:r>
      <w:r>
        <w:rPr>
          <w:w w:val="105"/>
          <w:sz w:val="22"/>
        </w:rPr>
        <w:t> equity</w:t>
      </w:r>
      <w:r>
        <w:rPr>
          <w:w w:val="105"/>
          <w:sz w:val="22"/>
        </w:rPr>
        <w:t> in</w:t>
      </w:r>
      <w:r>
        <w:rPr>
          <w:w w:val="105"/>
          <w:sz w:val="22"/>
        </w:rPr>
        <w:t> a</w:t>
      </w:r>
      <w:r>
        <w:rPr>
          <w:w w:val="105"/>
          <w:sz w:val="22"/>
        </w:rPr>
        <w:t> manner</w:t>
      </w:r>
      <w:r>
        <w:rPr>
          <w:w w:val="105"/>
          <w:sz w:val="22"/>
        </w:rPr>
        <w:t> that</w:t>
      </w:r>
      <w:r>
        <w:rPr>
          <w:w w:val="105"/>
          <w:sz w:val="22"/>
        </w:rPr>
        <w:t> is</w:t>
      </w:r>
      <w:r>
        <w:rPr>
          <w:w w:val="105"/>
          <w:sz w:val="22"/>
        </w:rPr>
        <w:t> consistent</w:t>
      </w:r>
      <w:r>
        <w:rPr>
          <w:w w:val="105"/>
          <w:sz w:val="22"/>
        </w:rPr>
        <w:t> with</w:t>
      </w:r>
      <w:r>
        <w:rPr>
          <w:w w:val="105"/>
          <w:sz w:val="22"/>
        </w:rPr>
        <w:t> existing</w:t>
      </w:r>
      <w:r>
        <w:rPr>
          <w:w w:val="105"/>
          <w:sz w:val="22"/>
        </w:rPr>
        <w:t> Supreme</w:t>
      </w:r>
      <w:r>
        <w:rPr>
          <w:w w:val="105"/>
          <w:sz w:val="22"/>
        </w:rPr>
        <w:t> Court</w:t>
      </w:r>
      <w:r>
        <w:rPr>
          <w:w w:val="105"/>
          <w:sz w:val="22"/>
        </w:rPr>
        <w:t> precedent.</w:t>
      </w:r>
      <w:r>
        <w:rPr>
          <w:w w:val="105"/>
          <w:sz w:val="22"/>
        </w:rPr>
        <w:t> The Trump</w:t>
      </w:r>
      <w:r>
        <w:rPr>
          <w:w w:val="105"/>
          <w:sz w:val="22"/>
        </w:rPr>
        <w:t> Administration</w:t>
      </w:r>
      <w:r>
        <w:rPr>
          <w:w w:val="105"/>
          <w:sz w:val="22"/>
        </w:rPr>
        <w:t> has</w:t>
      </w:r>
      <w:r>
        <w:rPr>
          <w:w w:val="105"/>
          <w:sz w:val="22"/>
        </w:rPr>
        <w:t> been</w:t>
      </w:r>
      <w:r>
        <w:rPr>
          <w:w w:val="105"/>
          <w:sz w:val="22"/>
        </w:rPr>
        <w:t> engaged</w:t>
      </w:r>
      <w:r>
        <w:rPr>
          <w:w w:val="105"/>
          <w:sz w:val="22"/>
        </w:rPr>
        <w:t> in</w:t>
      </w:r>
      <w:r>
        <w:rPr>
          <w:w w:val="105"/>
          <w:sz w:val="22"/>
        </w:rPr>
        <w:t> similar</w:t>
      </w:r>
      <w:r>
        <w:rPr>
          <w:w w:val="105"/>
          <w:sz w:val="22"/>
        </w:rPr>
        <w:t> attacks</w:t>
      </w:r>
      <w:r>
        <w:rPr>
          <w:w w:val="105"/>
          <w:sz w:val="22"/>
        </w:rPr>
        <w:t> on</w:t>
      </w:r>
      <w:r>
        <w:rPr>
          <w:w w:val="105"/>
          <w:sz w:val="22"/>
        </w:rPr>
        <w:t> policies</w:t>
      </w:r>
      <w:r>
        <w:rPr>
          <w:w w:val="105"/>
          <w:sz w:val="22"/>
        </w:rPr>
        <w:t> across</w:t>
      </w:r>
      <w:r>
        <w:rPr>
          <w:w w:val="105"/>
          <w:sz w:val="22"/>
        </w:rPr>
        <w:t> multiple federal agencies that are informed by the consideration of racial and ethnic demographic data but that do not assign concrete benefits or burdens to individuals or families based on their</w:t>
      </w:r>
      <w:r>
        <w:rPr>
          <w:w w:val="105"/>
          <w:sz w:val="22"/>
        </w:rPr>
        <w:t> race.</w:t>
      </w:r>
      <w:r>
        <w:rPr>
          <w:w w:val="105"/>
          <w:sz w:val="22"/>
        </w:rPr>
        <w:t> It</w:t>
      </w:r>
      <w:r>
        <w:rPr>
          <w:w w:val="105"/>
          <w:sz w:val="22"/>
        </w:rPr>
        <w:t> is</w:t>
      </w:r>
      <w:r>
        <w:rPr>
          <w:w w:val="105"/>
          <w:sz w:val="22"/>
        </w:rPr>
        <w:t> critical</w:t>
      </w:r>
      <w:r>
        <w:rPr>
          <w:w w:val="105"/>
          <w:sz w:val="22"/>
        </w:rPr>
        <w:t> that</w:t>
      </w:r>
      <w:r>
        <w:rPr>
          <w:w w:val="105"/>
          <w:sz w:val="22"/>
        </w:rPr>
        <w:t> we</w:t>
      </w:r>
      <w:r>
        <w:rPr>
          <w:w w:val="105"/>
          <w:sz w:val="22"/>
        </w:rPr>
        <w:t> unite</w:t>
      </w:r>
      <w:r>
        <w:rPr>
          <w:w w:val="105"/>
          <w:sz w:val="22"/>
        </w:rPr>
        <w:t> across</w:t>
      </w:r>
      <w:r>
        <w:rPr>
          <w:w w:val="105"/>
          <w:sz w:val="22"/>
        </w:rPr>
        <w:t> sectors</w:t>
      </w:r>
      <w:r>
        <w:rPr>
          <w:w w:val="105"/>
          <w:sz w:val="22"/>
        </w:rPr>
        <w:t> to</w:t>
      </w:r>
      <w:r>
        <w:rPr>
          <w:w w:val="105"/>
          <w:sz w:val="22"/>
        </w:rPr>
        <w:t> oppose</w:t>
      </w:r>
      <w:r>
        <w:rPr>
          <w:w w:val="105"/>
          <w:sz w:val="22"/>
        </w:rPr>
        <w:t> harmful</w:t>
      </w:r>
      <w:r>
        <w:rPr>
          <w:w w:val="105"/>
          <w:sz w:val="22"/>
        </w:rPr>
        <w:t> changes</w:t>
      </w:r>
      <w:r>
        <w:rPr>
          <w:w w:val="105"/>
          <w:sz w:val="22"/>
        </w:rPr>
        <w:t> that</w:t>
      </w:r>
      <w:r>
        <w:rPr>
          <w:w w:val="105"/>
          <w:sz w:val="22"/>
        </w:rPr>
        <w:t> are</w:t>
      </w:r>
      <w:r>
        <w:rPr>
          <w:spacing w:val="40"/>
          <w:w w:val="105"/>
          <w:sz w:val="22"/>
        </w:rPr>
        <w:t> </w:t>
      </w:r>
      <w:r>
        <w:rPr>
          <w:w w:val="105"/>
          <w:sz w:val="22"/>
        </w:rPr>
        <w:t>being pursued on a cross-sector basis.</w:t>
      </w:r>
    </w:p>
    <w:p>
      <w:pPr>
        <w:pStyle w:val="BodyText"/>
        <w:spacing w:before="240"/>
        <w:ind w:left="100" w:right="118"/>
        <w:jc w:val="both"/>
      </w:pPr>
      <w:r>
        <w:rPr>
          <w:w w:val="105"/>
        </w:rPr>
        <w:t>From</w:t>
      </w:r>
      <w:r>
        <w:rPr>
          <w:w w:val="105"/>
        </w:rPr>
        <w:t> its </w:t>
      </w:r>
      <w:hyperlink r:id="rId13">
        <w:r>
          <w:rPr>
            <w:color w:val="467885"/>
            <w:w w:val="105"/>
            <w:u w:val="single" w:color="467885"/>
          </w:rPr>
          <w:t>watering</w:t>
        </w:r>
        <w:r>
          <w:rPr>
            <w:color w:val="467885"/>
            <w:w w:val="105"/>
            <w:u w:val="single" w:color="467885"/>
          </w:rPr>
          <w:t> down</w:t>
        </w:r>
      </w:hyperlink>
      <w:r>
        <w:rPr>
          <w:color w:val="467885"/>
          <w:w w:val="105"/>
          <w:u w:val="none"/>
        </w:rPr>
        <w:t> </w:t>
      </w:r>
      <w:r>
        <w:rPr>
          <w:w w:val="105"/>
          <w:u w:val="none"/>
        </w:rPr>
        <w:t>of</w:t>
      </w:r>
      <w:r>
        <w:rPr>
          <w:w w:val="105"/>
          <w:u w:val="none"/>
        </w:rPr>
        <w:t> the</w:t>
      </w:r>
      <w:r>
        <w:rPr>
          <w:w w:val="105"/>
          <w:u w:val="none"/>
        </w:rPr>
        <w:t> definition</w:t>
      </w:r>
      <w:r>
        <w:rPr>
          <w:w w:val="105"/>
          <w:u w:val="none"/>
        </w:rPr>
        <w:t> of the Fair</w:t>
      </w:r>
      <w:r>
        <w:rPr>
          <w:w w:val="105"/>
          <w:u w:val="none"/>
        </w:rPr>
        <w:t> Housing</w:t>
      </w:r>
      <w:r>
        <w:rPr>
          <w:w w:val="105"/>
          <w:u w:val="none"/>
        </w:rPr>
        <w:t> Act’s</w:t>
      </w:r>
      <w:r>
        <w:rPr>
          <w:w w:val="105"/>
          <w:u w:val="none"/>
        </w:rPr>
        <w:t> affirmatively furthering</w:t>
      </w:r>
      <w:r>
        <w:rPr>
          <w:w w:val="105"/>
          <w:u w:val="none"/>
        </w:rPr>
        <w:t> fair housing</w:t>
      </w:r>
      <w:r>
        <w:rPr>
          <w:spacing w:val="-2"/>
          <w:w w:val="105"/>
          <w:u w:val="none"/>
        </w:rPr>
        <w:t> </w:t>
      </w:r>
      <w:r>
        <w:rPr>
          <w:w w:val="105"/>
          <w:u w:val="none"/>
        </w:rPr>
        <w:t>mandate</w:t>
      </w:r>
      <w:r>
        <w:rPr>
          <w:spacing w:val="-4"/>
          <w:w w:val="105"/>
          <w:u w:val="none"/>
        </w:rPr>
        <w:t> </w:t>
      </w:r>
      <w:r>
        <w:rPr>
          <w:w w:val="105"/>
          <w:u w:val="none"/>
        </w:rPr>
        <w:t>to its </w:t>
      </w:r>
      <w:hyperlink r:id="rId14">
        <w:r>
          <w:rPr>
            <w:color w:val="467885"/>
            <w:w w:val="105"/>
            <w:u w:val="single" w:color="467885"/>
          </w:rPr>
          <w:t>abdication</w:t>
        </w:r>
      </w:hyperlink>
      <w:r>
        <w:rPr>
          <w:color w:val="467885"/>
          <w:w w:val="105"/>
          <w:u w:val="none"/>
        </w:rPr>
        <w:t> </w:t>
      </w:r>
      <w:r>
        <w:rPr>
          <w:w w:val="105"/>
          <w:u w:val="none"/>
        </w:rPr>
        <w:t>of its</w:t>
      </w:r>
      <w:r>
        <w:rPr>
          <w:spacing w:val="-2"/>
          <w:w w:val="105"/>
          <w:u w:val="none"/>
        </w:rPr>
        <w:t> </w:t>
      </w:r>
      <w:r>
        <w:rPr>
          <w:w w:val="105"/>
          <w:u w:val="none"/>
        </w:rPr>
        <w:t>responsibility</w:t>
      </w:r>
      <w:r>
        <w:rPr>
          <w:spacing w:val="-2"/>
          <w:w w:val="105"/>
          <w:u w:val="none"/>
        </w:rPr>
        <w:t> </w:t>
      </w:r>
      <w:r>
        <w:rPr>
          <w:w w:val="105"/>
          <w:u w:val="none"/>
        </w:rPr>
        <w:t>to</w:t>
      </w:r>
      <w:r>
        <w:rPr>
          <w:spacing w:val="-5"/>
          <w:w w:val="105"/>
          <w:u w:val="none"/>
        </w:rPr>
        <w:t> </w:t>
      </w:r>
      <w:r>
        <w:rPr>
          <w:w w:val="105"/>
          <w:u w:val="none"/>
        </w:rPr>
        <w:t>enforce</w:t>
      </w:r>
      <w:r>
        <w:rPr>
          <w:spacing w:val="-2"/>
          <w:w w:val="105"/>
          <w:u w:val="none"/>
        </w:rPr>
        <w:t> </w:t>
      </w:r>
      <w:r>
        <w:rPr>
          <w:w w:val="105"/>
          <w:u w:val="none"/>
        </w:rPr>
        <w:t>rules</w:t>
      </w:r>
      <w:r>
        <w:rPr>
          <w:spacing w:val="-2"/>
          <w:w w:val="105"/>
          <w:u w:val="none"/>
        </w:rPr>
        <w:t> </w:t>
      </w:r>
      <w:r>
        <w:rPr>
          <w:w w:val="105"/>
          <w:u w:val="none"/>
        </w:rPr>
        <w:t>prohibiting discrimination</w:t>
      </w:r>
      <w:r>
        <w:rPr>
          <w:spacing w:val="-2"/>
          <w:w w:val="105"/>
          <w:u w:val="none"/>
        </w:rPr>
        <w:t> </w:t>
      </w:r>
      <w:r>
        <w:rPr>
          <w:w w:val="105"/>
          <w:u w:val="none"/>
        </w:rPr>
        <w:t>on the</w:t>
      </w:r>
      <w:r>
        <w:rPr>
          <w:w w:val="105"/>
          <w:u w:val="none"/>
        </w:rPr>
        <w:t> basis</w:t>
      </w:r>
      <w:r>
        <w:rPr>
          <w:w w:val="105"/>
          <w:u w:val="none"/>
        </w:rPr>
        <w:t> of sexual orientation and</w:t>
      </w:r>
      <w:r>
        <w:rPr>
          <w:w w:val="105"/>
          <w:u w:val="none"/>
        </w:rPr>
        <w:t> gender identity</w:t>
      </w:r>
      <w:r>
        <w:rPr>
          <w:w w:val="105"/>
          <w:u w:val="none"/>
        </w:rPr>
        <w:t> in federally-funded homeless shelters</w:t>
      </w:r>
      <w:r>
        <w:rPr>
          <w:w w:val="105"/>
          <w:u w:val="none"/>
        </w:rPr>
        <w:t> and its </w:t>
      </w:r>
      <w:hyperlink r:id="rId15">
        <w:r>
          <w:rPr>
            <w:color w:val="467885"/>
            <w:w w:val="105"/>
            <w:u w:val="single" w:color="467885"/>
          </w:rPr>
          <w:t>assault</w:t>
        </w:r>
      </w:hyperlink>
      <w:r>
        <w:rPr>
          <w:color w:val="467885"/>
          <w:w w:val="105"/>
          <w:u w:val="none"/>
        </w:rPr>
        <w:t> </w:t>
      </w:r>
      <w:r>
        <w:rPr>
          <w:w w:val="105"/>
          <w:u w:val="none"/>
        </w:rPr>
        <w:t>on the disparate impact standard of proof under various civil rights statutes, including the Fair Housing Act, the Trump Administration has been working to reverse decades</w:t>
      </w:r>
      <w:r>
        <w:rPr>
          <w:spacing w:val="-1"/>
          <w:w w:val="105"/>
          <w:u w:val="none"/>
        </w:rPr>
        <w:t> </w:t>
      </w:r>
      <w:r>
        <w:rPr>
          <w:w w:val="105"/>
          <w:u w:val="none"/>
        </w:rPr>
        <w:t>of progress in the fight</w:t>
      </w:r>
      <w:r>
        <w:rPr>
          <w:w w:val="105"/>
          <w:u w:val="none"/>
        </w:rPr>
        <w:t> for</w:t>
      </w:r>
      <w:r>
        <w:rPr>
          <w:w w:val="105"/>
          <w:u w:val="none"/>
        </w:rPr>
        <w:t> civil</w:t>
      </w:r>
      <w:r>
        <w:rPr>
          <w:w w:val="105"/>
          <w:u w:val="none"/>
        </w:rPr>
        <w:t> rights,</w:t>
      </w:r>
      <w:r>
        <w:rPr>
          <w:w w:val="105"/>
          <w:u w:val="none"/>
        </w:rPr>
        <w:t> both</w:t>
      </w:r>
      <w:r>
        <w:rPr>
          <w:w w:val="105"/>
          <w:u w:val="none"/>
        </w:rPr>
        <w:t> at</w:t>
      </w:r>
      <w:r>
        <w:rPr>
          <w:w w:val="105"/>
          <w:u w:val="none"/>
        </w:rPr>
        <w:t> HUD</w:t>
      </w:r>
      <w:r>
        <w:rPr>
          <w:w w:val="105"/>
          <w:u w:val="none"/>
        </w:rPr>
        <w:t> and</w:t>
      </w:r>
      <w:r>
        <w:rPr>
          <w:w w:val="105"/>
          <w:u w:val="none"/>
        </w:rPr>
        <w:t> at</w:t>
      </w:r>
      <w:r>
        <w:rPr>
          <w:w w:val="105"/>
          <w:u w:val="none"/>
        </w:rPr>
        <w:t> other</w:t>
      </w:r>
      <w:r>
        <w:rPr>
          <w:w w:val="105"/>
          <w:u w:val="none"/>
        </w:rPr>
        <w:t> agencies.</w:t>
      </w:r>
      <w:r>
        <w:rPr>
          <w:w w:val="105"/>
          <w:u w:val="none"/>
        </w:rPr>
        <w:t> The</w:t>
      </w:r>
      <w:r>
        <w:rPr>
          <w:w w:val="105"/>
          <w:u w:val="none"/>
        </w:rPr>
        <w:t> proposed</w:t>
      </w:r>
      <w:r>
        <w:rPr>
          <w:w w:val="105"/>
          <w:u w:val="none"/>
        </w:rPr>
        <w:t> rescission</w:t>
      </w:r>
      <w:r>
        <w:rPr>
          <w:w w:val="105"/>
          <w:u w:val="none"/>
        </w:rPr>
        <w:t> of</w:t>
      </w:r>
      <w:r>
        <w:rPr>
          <w:w w:val="105"/>
          <w:u w:val="none"/>
        </w:rPr>
        <w:t> HUD’s affirmative marketing requirements is the latest in that series of similar attacks.</w:t>
      </w:r>
    </w:p>
    <w:p>
      <w:pPr>
        <w:spacing w:before="240"/>
        <w:ind w:left="100" w:right="124" w:firstLine="0"/>
        <w:jc w:val="both"/>
        <w:rPr>
          <w:b/>
          <w:sz w:val="22"/>
        </w:rPr>
      </w:pPr>
      <w:r>
        <w:rPr>
          <w:b/>
          <w:w w:val="110"/>
          <w:sz w:val="22"/>
        </w:rPr>
        <w:t>Please</w:t>
      </w:r>
      <w:r>
        <w:rPr>
          <w:b/>
          <w:w w:val="110"/>
          <w:sz w:val="22"/>
        </w:rPr>
        <w:t> consider</w:t>
      </w:r>
      <w:r>
        <w:rPr>
          <w:b/>
          <w:w w:val="110"/>
          <w:sz w:val="22"/>
        </w:rPr>
        <w:t> submitting</w:t>
      </w:r>
      <w:r>
        <w:rPr>
          <w:b/>
          <w:w w:val="110"/>
          <w:sz w:val="22"/>
        </w:rPr>
        <w:t> a</w:t>
      </w:r>
      <w:r>
        <w:rPr>
          <w:b/>
          <w:w w:val="110"/>
          <w:sz w:val="22"/>
        </w:rPr>
        <w:t> comment</w:t>
      </w:r>
      <w:r>
        <w:rPr>
          <w:b/>
          <w:w w:val="110"/>
          <w:sz w:val="22"/>
        </w:rPr>
        <w:t> letter</w:t>
      </w:r>
      <w:r>
        <w:rPr>
          <w:b/>
          <w:w w:val="110"/>
          <w:sz w:val="22"/>
        </w:rPr>
        <w:t> opposing</w:t>
      </w:r>
      <w:r>
        <w:rPr>
          <w:b/>
          <w:w w:val="110"/>
          <w:sz w:val="22"/>
        </w:rPr>
        <w:t> the</w:t>
      </w:r>
      <w:r>
        <w:rPr>
          <w:b/>
          <w:w w:val="110"/>
          <w:sz w:val="22"/>
        </w:rPr>
        <w:t> proposed</w:t>
      </w:r>
      <w:r>
        <w:rPr>
          <w:b/>
          <w:w w:val="110"/>
          <w:sz w:val="22"/>
        </w:rPr>
        <w:t> rule</w:t>
      </w:r>
      <w:r>
        <w:rPr>
          <w:b/>
          <w:w w:val="110"/>
          <w:sz w:val="22"/>
        </w:rPr>
        <w:t> by</w:t>
      </w:r>
      <w:r>
        <w:rPr>
          <w:b/>
          <w:w w:val="110"/>
          <w:sz w:val="22"/>
        </w:rPr>
        <w:t> the</w:t>
      </w:r>
      <w:r>
        <w:rPr>
          <w:b/>
          <w:w w:val="110"/>
          <w:sz w:val="22"/>
        </w:rPr>
        <w:t> Thursday, July 3, 2025 deadline at this </w:t>
      </w:r>
      <w:hyperlink r:id="rId8">
        <w:r>
          <w:rPr>
            <w:b/>
            <w:color w:val="467885"/>
            <w:w w:val="110"/>
            <w:sz w:val="22"/>
            <w:u w:val="single" w:color="467885"/>
          </w:rPr>
          <w:t>link</w:t>
        </w:r>
      </w:hyperlink>
      <w:r>
        <w:rPr>
          <w:b/>
          <w:w w:val="110"/>
          <w:sz w:val="22"/>
          <w:u w:val="none"/>
        </w:rPr>
        <w:t>.</w:t>
      </w:r>
    </w:p>
    <w:sectPr>
      <w:pgSz w:w="12240" w:h="15840"/>
      <w:pgMar w:header="720" w:footer="1103" w:top="1880" w:bottom="13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52512">
              <wp:simplePos x="0" y="0"/>
              <wp:positionH relativeFrom="page">
                <wp:posOffset>3807586</wp:posOffset>
              </wp:positionH>
              <wp:positionV relativeFrom="page">
                <wp:posOffset>9218021</wp:posOffset>
              </wp:positionV>
              <wp:extent cx="170815" cy="21145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0815" cy="211454"/>
                      </a:xfrm>
                      <a:prstGeom prst="rect">
                        <a:avLst/>
                      </a:prstGeom>
                    </wps:spPr>
                    <wps:txbx>
                      <w:txbxContent>
                        <w:p>
                          <w:pPr>
                            <w:spacing w:before="17"/>
                            <w:ind w:left="60" w:right="0" w:firstLine="0"/>
                            <w:jc w:val="left"/>
                            <w:rPr>
                              <w:sz w:val="24"/>
                            </w:rPr>
                          </w:pPr>
                          <w:r>
                            <w:rPr>
                              <w:spacing w:val="-10"/>
                              <w:w w:val="105"/>
                              <w:sz w:val="24"/>
                            </w:rPr>
                            <w:fldChar w:fldCharType="begin"/>
                          </w:r>
                          <w:r>
                            <w:rPr>
                              <w:spacing w:val="-10"/>
                              <w:w w:val="105"/>
                              <w:sz w:val="24"/>
                            </w:rPr>
                            <w:instrText> PAGE </w:instrText>
                          </w:r>
                          <w:r>
                            <w:rPr>
                              <w:spacing w:val="-10"/>
                              <w:w w:val="105"/>
                              <w:sz w:val="24"/>
                            </w:rPr>
                            <w:fldChar w:fldCharType="separate"/>
                          </w:r>
                          <w:r>
                            <w:rPr>
                              <w:spacing w:val="-10"/>
                              <w:w w:val="105"/>
                              <w:sz w:val="24"/>
                            </w:rPr>
                            <w:t>1</w:t>
                          </w:r>
                          <w:r>
                            <w:rPr>
                              <w:spacing w:val="-10"/>
                              <w:w w:val="10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809998pt;margin-top:725.82843pt;width:13.45pt;height:16.650pt;mso-position-horizontal-relative:page;mso-position-vertical-relative:page;z-index:-15763968" type="#_x0000_t202" id="docshape1" filled="false" stroked="false">
              <v:textbox inset="0,0,0,0">
                <w:txbxContent>
                  <w:p>
                    <w:pPr>
                      <w:spacing w:before="17"/>
                      <w:ind w:left="60" w:right="0" w:firstLine="0"/>
                      <w:jc w:val="left"/>
                      <w:rPr>
                        <w:sz w:val="24"/>
                      </w:rPr>
                    </w:pPr>
                    <w:r>
                      <w:rPr>
                        <w:spacing w:val="-10"/>
                        <w:w w:val="105"/>
                        <w:sz w:val="24"/>
                      </w:rPr>
                      <w:fldChar w:fldCharType="begin"/>
                    </w:r>
                    <w:r>
                      <w:rPr>
                        <w:spacing w:val="-10"/>
                        <w:w w:val="105"/>
                        <w:sz w:val="24"/>
                      </w:rPr>
                      <w:instrText> PAGE </w:instrText>
                    </w:r>
                    <w:r>
                      <w:rPr>
                        <w:spacing w:val="-10"/>
                        <w:w w:val="105"/>
                        <w:sz w:val="24"/>
                      </w:rPr>
                      <w:fldChar w:fldCharType="separate"/>
                    </w:r>
                    <w:r>
                      <w:rPr>
                        <w:spacing w:val="-10"/>
                        <w:w w:val="105"/>
                        <w:sz w:val="24"/>
                      </w:rPr>
                      <w:t>1</w:t>
                    </w:r>
                    <w:r>
                      <w:rPr>
                        <w:spacing w:val="-10"/>
                        <w:w w:val="10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52000">
          <wp:simplePos x="0" y="0"/>
          <wp:positionH relativeFrom="page">
            <wp:posOffset>914400</wp:posOffset>
          </wp:positionH>
          <wp:positionV relativeFrom="page">
            <wp:posOffset>457200</wp:posOffset>
          </wp:positionV>
          <wp:extent cx="1856105" cy="6858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856105" cy="685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4"/>
      <w:ind w:right="21"/>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820" w:right="114"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govinfo.gov/content/pkg/FR-2025-06-03/pdf/2025-09991.pdf" TargetMode="External"/><Relationship Id="rId8" Type="http://schemas.openxmlformats.org/officeDocument/2006/relationships/hyperlink" Target="https://www.regulations.gov/commenton/HUD-2025-0015-0001" TargetMode="External"/><Relationship Id="rId9" Type="http://schemas.openxmlformats.org/officeDocument/2006/relationships/hyperlink" Target="https://www.prrac.org/pdf/affirmativemarketing.pdf" TargetMode="External"/><Relationship Id="rId10" Type="http://schemas.openxmlformats.org/officeDocument/2006/relationships/hyperlink" Target="https://scholar.google.com/scholar_case?case=17918801543971086771" TargetMode="External"/><Relationship Id="rId11" Type="http://schemas.openxmlformats.org/officeDocument/2006/relationships/hyperlink" Target="https://scholar.google.com/scholar_case?case=10493785309890966913" TargetMode="External"/><Relationship Id="rId12" Type="http://schemas.openxmlformats.org/officeDocument/2006/relationships/hyperlink" Target="https://www.law.cornell.edu/cfr/text/24/10.1" TargetMode="External"/><Relationship Id="rId13" Type="http://schemas.openxmlformats.org/officeDocument/2006/relationships/hyperlink" Target="https://www.govinfo.gov/content/pkg/FR-2025-03-03/pdf/2025-03360.pdf" TargetMode="External"/><Relationship Id="rId14" Type="http://schemas.openxmlformats.org/officeDocument/2006/relationships/hyperlink" Target="https://www.hud.gov/news/hud-no-25-026" TargetMode="External"/><Relationship Id="rId15" Type="http://schemas.openxmlformats.org/officeDocument/2006/relationships/hyperlink" Target="https://www.whitehouse.gov/presidential-actions/2025/04/restoring-equality-of-opportunity-and-meritocracy/" TargetMode="Externa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Silverstein</dc:creator>
  <dcterms:created xsi:type="dcterms:W3CDTF">2025-06-07T23:55:10Z</dcterms:created>
  <dcterms:modified xsi:type="dcterms:W3CDTF">2025-06-07T23:55:10Z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for Microsoft 365</vt:lpwstr>
  </property>
  <property fmtid="{D5CDD505-2E9C-101B-9397-08002B2CF9AE}" pid="4" name="LastSaved">
    <vt:filetime>2025-06-07T00:00:00Z</vt:filetime>
  </property>
  <property fmtid="{D5CDD505-2E9C-101B-9397-08002B2CF9AE}" pid="5" name="Producer">
    <vt:lpwstr>Microsoft® Word for Microsoft 365</vt:lpwstr>
  </property>
</Properties>
</file>