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063" w:val="left" w:leader="none"/>
        </w:tabs>
        <w:spacing w:line="207" w:lineRule="exact" w:before="79"/>
        <w:ind w:left="980" w:right="0" w:firstLine="0"/>
        <w:jc w:val="left"/>
        <w:rPr>
          <w:rFonts w:ascii="Arial"/>
          <w:b/>
          <w:i/>
          <w:sz w:val="18"/>
        </w:rPr>
      </w:pPr>
      <w:r>
        <w:rPr/>
        <w:drawing>
          <wp:anchor distT="0" distB="0" distL="0" distR="0" allowOverlap="1" layoutInCell="1" locked="0" behindDoc="0" simplePos="0" relativeHeight="15728640">
            <wp:simplePos x="0" y="0"/>
            <wp:positionH relativeFrom="page">
              <wp:posOffset>818514</wp:posOffset>
            </wp:positionH>
            <wp:positionV relativeFrom="paragraph">
              <wp:posOffset>50800</wp:posOffset>
            </wp:positionV>
            <wp:extent cx="431163" cy="457199"/>
            <wp:effectExtent l="0" t="0" r="0" b="0"/>
            <wp:wrapNone/>
            <wp:docPr id="1" name="Image 1" descr="cbo_logo_blue(16,0,67) "/>
            <wp:cNvGraphicFramePr>
              <a:graphicFrameLocks/>
            </wp:cNvGraphicFramePr>
            <a:graphic>
              <a:graphicData uri="http://schemas.openxmlformats.org/drawingml/2006/picture">
                <pic:pic>
                  <pic:nvPicPr>
                    <pic:cNvPr id="1" name="Image 1" descr="cbo_logo_blue(16,0,67) "/>
                    <pic:cNvPicPr/>
                  </pic:nvPicPr>
                  <pic:blipFill>
                    <a:blip r:embed="rId5" cstate="print"/>
                    <a:stretch>
                      <a:fillRect/>
                    </a:stretch>
                  </pic:blipFill>
                  <pic:spPr>
                    <a:xfrm>
                      <a:off x="0" y="0"/>
                      <a:ext cx="431163" cy="457199"/>
                    </a:xfrm>
                    <a:prstGeom prst="rect">
                      <a:avLst/>
                    </a:prstGeom>
                  </pic:spPr>
                </pic:pic>
              </a:graphicData>
            </a:graphic>
          </wp:anchor>
        </w:drawing>
      </w:r>
      <w:r>
        <w:rPr>
          <w:rFonts w:ascii="Arial"/>
          <w:b/>
          <w:color w:val="100043"/>
          <w:sz w:val="18"/>
        </w:rPr>
        <w:t>CONGRESSIONAL</w:t>
      </w:r>
      <w:r>
        <w:rPr>
          <w:rFonts w:ascii="Arial"/>
          <w:b/>
          <w:color w:val="100043"/>
          <w:spacing w:val="-7"/>
          <w:sz w:val="18"/>
        </w:rPr>
        <w:t> </w:t>
      </w:r>
      <w:r>
        <w:rPr>
          <w:rFonts w:ascii="Arial"/>
          <w:b/>
          <w:color w:val="100043"/>
          <w:sz w:val="18"/>
        </w:rPr>
        <w:t>BUDGET</w:t>
      </w:r>
      <w:r>
        <w:rPr>
          <w:rFonts w:ascii="Arial"/>
          <w:b/>
          <w:color w:val="100043"/>
          <w:spacing w:val="-4"/>
          <w:sz w:val="18"/>
        </w:rPr>
        <w:t> </w:t>
      </w:r>
      <w:r>
        <w:rPr>
          <w:rFonts w:ascii="Arial"/>
          <w:b/>
          <w:color w:val="100043"/>
          <w:spacing w:val="-2"/>
          <w:sz w:val="18"/>
        </w:rPr>
        <w:t>OFFICE</w:t>
      </w:r>
      <w:r>
        <w:rPr>
          <w:rFonts w:ascii="Arial"/>
          <w:b/>
          <w:color w:val="100043"/>
          <w:sz w:val="18"/>
        </w:rPr>
        <w:tab/>
      </w:r>
      <w:r>
        <w:rPr>
          <w:rFonts w:ascii="Arial"/>
          <w:b/>
          <w:i/>
          <w:color w:val="100043"/>
          <w:sz w:val="18"/>
        </w:rPr>
        <w:t>Phillip</w:t>
      </w:r>
      <w:r>
        <w:rPr>
          <w:rFonts w:ascii="Arial"/>
          <w:b/>
          <w:i/>
          <w:color w:val="100043"/>
          <w:spacing w:val="-4"/>
          <w:sz w:val="18"/>
        </w:rPr>
        <w:t> </w:t>
      </w:r>
      <w:r>
        <w:rPr>
          <w:rFonts w:ascii="Arial"/>
          <w:b/>
          <w:i/>
          <w:color w:val="100043"/>
          <w:sz w:val="18"/>
        </w:rPr>
        <w:t>L.</w:t>
      </w:r>
      <w:r>
        <w:rPr>
          <w:rFonts w:ascii="Arial"/>
          <w:b/>
          <w:i/>
          <w:color w:val="100043"/>
          <w:spacing w:val="-3"/>
          <w:sz w:val="18"/>
        </w:rPr>
        <w:t> </w:t>
      </w:r>
      <w:r>
        <w:rPr>
          <w:rFonts w:ascii="Arial"/>
          <w:b/>
          <w:i/>
          <w:color w:val="100043"/>
          <w:sz w:val="18"/>
        </w:rPr>
        <w:t>Swagel,</w:t>
      </w:r>
      <w:r>
        <w:rPr>
          <w:rFonts w:ascii="Arial"/>
          <w:b/>
          <w:i/>
          <w:color w:val="100043"/>
          <w:spacing w:val="-2"/>
          <w:sz w:val="18"/>
        </w:rPr>
        <w:t> Director</w:t>
      </w:r>
    </w:p>
    <w:p>
      <w:pPr>
        <w:spacing w:before="0"/>
        <w:ind w:left="979" w:right="6110" w:firstLine="0"/>
        <w:jc w:val="left"/>
        <w:rPr>
          <w:rFonts w:ascii="Arial"/>
          <w:b/>
          <w:i/>
          <w:sz w:val="18"/>
        </w:rPr>
      </w:pPr>
      <w:r>
        <w:rPr>
          <w:rFonts w:ascii="Arial"/>
          <w:b/>
          <w:i/>
          <w:color w:val="100043"/>
          <w:sz w:val="18"/>
        </w:rPr>
        <w:t>U.S. Congress</w:t>
      </w:r>
      <w:r>
        <w:rPr>
          <w:rFonts w:ascii="Arial"/>
          <w:b/>
          <w:i/>
          <w:color w:val="100043"/>
          <w:sz w:val="18"/>
        </w:rPr>
        <w:t> Washington,</w:t>
      </w:r>
      <w:r>
        <w:rPr>
          <w:rFonts w:ascii="Arial"/>
          <w:b/>
          <w:i/>
          <w:color w:val="100043"/>
          <w:spacing w:val="-15"/>
          <w:sz w:val="18"/>
        </w:rPr>
        <w:t> </w:t>
      </w:r>
      <w:r>
        <w:rPr>
          <w:rFonts w:ascii="Arial"/>
          <w:b/>
          <w:i/>
          <w:color w:val="100043"/>
          <w:sz w:val="18"/>
        </w:rPr>
        <w:t>DC</w:t>
      </w:r>
      <w:r>
        <w:rPr>
          <w:rFonts w:ascii="Arial"/>
          <w:b/>
          <w:i/>
          <w:color w:val="100043"/>
          <w:spacing w:val="-12"/>
          <w:sz w:val="18"/>
        </w:rPr>
        <w:t> </w:t>
      </w:r>
      <w:r>
        <w:rPr>
          <w:rFonts w:ascii="Arial"/>
          <w:b/>
          <w:i/>
          <w:color w:val="100043"/>
          <w:sz w:val="18"/>
        </w:rPr>
        <w:t>20515</w:t>
      </w:r>
    </w:p>
    <w:p>
      <w:pPr>
        <w:pStyle w:val="BodyText"/>
        <w:ind w:left="0"/>
        <w:rPr>
          <w:rFonts w:ascii="Arial"/>
          <w:b/>
          <w:i/>
          <w:sz w:val="18"/>
        </w:rPr>
      </w:pPr>
    </w:p>
    <w:p>
      <w:pPr>
        <w:pStyle w:val="BodyText"/>
        <w:ind w:left="0"/>
        <w:rPr>
          <w:rFonts w:ascii="Arial"/>
          <w:b/>
          <w:i/>
          <w:sz w:val="18"/>
        </w:rPr>
      </w:pPr>
    </w:p>
    <w:p>
      <w:pPr>
        <w:pStyle w:val="BodyText"/>
        <w:ind w:left="0"/>
        <w:rPr>
          <w:rFonts w:ascii="Arial"/>
          <w:b/>
          <w:i/>
          <w:sz w:val="18"/>
        </w:rPr>
      </w:pPr>
    </w:p>
    <w:p>
      <w:pPr>
        <w:pStyle w:val="BodyText"/>
        <w:spacing w:before="16"/>
        <w:ind w:left="0"/>
        <w:rPr>
          <w:rFonts w:ascii="Arial"/>
          <w:b/>
          <w:i/>
          <w:sz w:val="18"/>
        </w:rPr>
      </w:pPr>
    </w:p>
    <w:p>
      <w:pPr>
        <w:pStyle w:val="BodyText"/>
        <w:ind w:left="5184"/>
      </w:pPr>
      <w:r>
        <w:rPr/>
        <w:t>May</w:t>
      </w:r>
      <w:r>
        <w:rPr>
          <w:spacing w:val="-5"/>
        </w:rPr>
        <w:t> </w:t>
      </w:r>
      <w:r>
        <w:rPr/>
        <w:t>7,</w:t>
      </w:r>
      <w:r>
        <w:rPr>
          <w:spacing w:val="-4"/>
        </w:rPr>
        <w:t> 2025</w:t>
      </w:r>
    </w:p>
    <w:p>
      <w:pPr>
        <w:pStyle w:val="BodyText"/>
        <w:ind w:left="0"/>
        <w:rPr>
          <w:sz w:val="20"/>
        </w:rPr>
      </w:pPr>
    </w:p>
    <w:p>
      <w:pPr>
        <w:pStyle w:val="BodyText"/>
        <w:ind w:left="0"/>
        <w:rPr>
          <w:sz w:val="20"/>
        </w:rPr>
      </w:pPr>
    </w:p>
    <w:p>
      <w:pPr>
        <w:pStyle w:val="BodyText"/>
        <w:spacing w:before="60"/>
        <w:ind w:left="0"/>
        <w:rPr>
          <w:sz w:val="20"/>
        </w:rPr>
      </w:pPr>
    </w:p>
    <w:p>
      <w:pPr>
        <w:spacing w:after="0"/>
        <w:rPr>
          <w:sz w:val="20"/>
        </w:rPr>
        <w:sectPr>
          <w:type w:val="continuous"/>
          <w:pgSz w:w="12240" w:h="15840"/>
          <w:pgMar w:top="1360" w:bottom="280" w:left="1180" w:right="1680"/>
        </w:sectPr>
      </w:pPr>
    </w:p>
    <w:p>
      <w:pPr>
        <w:pStyle w:val="BodyText"/>
        <w:spacing w:before="88"/>
        <w:ind w:right="38"/>
      </w:pPr>
      <w:r>
        <w:rPr/>
        <w:t>Honorable Ron Wyden Ranking Member Committee on Finance United States Senate Washington,</w:t>
      </w:r>
      <w:r>
        <w:rPr>
          <w:spacing w:val="-14"/>
        </w:rPr>
        <w:t> </w:t>
      </w:r>
      <w:r>
        <w:rPr/>
        <w:t>DC</w:t>
      </w:r>
      <w:r>
        <w:rPr>
          <w:spacing w:val="40"/>
        </w:rPr>
        <w:t> </w:t>
      </w:r>
      <w:r>
        <w:rPr/>
        <w:t>20510</w:t>
      </w:r>
    </w:p>
    <w:p>
      <w:pPr>
        <w:pStyle w:val="BodyText"/>
        <w:spacing w:before="88"/>
        <w:ind w:right="390"/>
      </w:pPr>
      <w:r>
        <w:rPr/>
        <w:br w:type="column"/>
      </w:r>
      <w:r>
        <w:rPr/>
        <w:t>Honorable</w:t>
      </w:r>
      <w:r>
        <w:rPr>
          <w:spacing w:val="-11"/>
        </w:rPr>
        <w:t> </w:t>
      </w:r>
      <w:r>
        <w:rPr/>
        <w:t>Frank</w:t>
      </w:r>
      <w:r>
        <w:rPr>
          <w:spacing w:val="-14"/>
        </w:rPr>
        <w:t> </w:t>
      </w:r>
      <w:r>
        <w:rPr/>
        <w:t>Pallone,</w:t>
      </w:r>
      <w:r>
        <w:rPr>
          <w:spacing w:val="-14"/>
        </w:rPr>
        <w:t> </w:t>
      </w:r>
      <w:r>
        <w:rPr/>
        <w:t>Jr. Ranking Member</w:t>
      </w:r>
    </w:p>
    <w:p>
      <w:pPr>
        <w:pStyle w:val="BodyText"/>
        <w:spacing w:line="298" w:lineRule="exact"/>
      </w:pPr>
      <w:r>
        <w:rPr/>
        <w:t>Committee</w:t>
      </w:r>
      <w:r>
        <w:rPr>
          <w:spacing w:val="-4"/>
        </w:rPr>
        <w:t> </w:t>
      </w:r>
      <w:r>
        <w:rPr/>
        <w:t>on</w:t>
      </w:r>
      <w:r>
        <w:rPr>
          <w:spacing w:val="-7"/>
        </w:rPr>
        <w:t> </w:t>
      </w:r>
      <w:r>
        <w:rPr/>
        <w:t>Energy</w:t>
      </w:r>
      <w:r>
        <w:rPr>
          <w:spacing w:val="-4"/>
        </w:rPr>
        <w:t> </w:t>
      </w:r>
      <w:r>
        <w:rPr/>
        <w:t>and</w:t>
      </w:r>
      <w:r>
        <w:rPr>
          <w:spacing w:val="-7"/>
        </w:rPr>
        <w:t> </w:t>
      </w:r>
      <w:r>
        <w:rPr>
          <w:spacing w:val="-2"/>
        </w:rPr>
        <w:t>Commerce</w:t>
      </w:r>
    </w:p>
    <w:p>
      <w:pPr>
        <w:pStyle w:val="BodyText"/>
        <w:spacing w:before="1"/>
        <w:ind w:right="390"/>
      </w:pPr>
      <w:r>
        <w:rPr/>
        <w:t>U.S.</w:t>
      </w:r>
      <w:r>
        <w:rPr>
          <w:spacing w:val="-13"/>
        </w:rPr>
        <w:t> </w:t>
      </w:r>
      <w:r>
        <w:rPr/>
        <w:t>House</w:t>
      </w:r>
      <w:r>
        <w:rPr>
          <w:spacing w:val="-13"/>
        </w:rPr>
        <w:t> </w:t>
      </w:r>
      <w:r>
        <w:rPr/>
        <w:t>of</w:t>
      </w:r>
      <w:r>
        <w:rPr>
          <w:spacing w:val="-13"/>
        </w:rPr>
        <w:t> </w:t>
      </w:r>
      <w:r>
        <w:rPr/>
        <w:t>Representatives Washington, DC</w:t>
      </w:r>
      <w:r>
        <w:rPr>
          <w:spacing w:val="40"/>
        </w:rPr>
        <w:t> </w:t>
      </w:r>
      <w:r>
        <w:rPr/>
        <w:t>20515</w:t>
      </w:r>
    </w:p>
    <w:p>
      <w:pPr>
        <w:spacing w:after="0"/>
        <w:sectPr>
          <w:type w:val="continuous"/>
          <w:pgSz w:w="12240" w:h="15840"/>
          <w:pgMar w:top="1360" w:bottom="280" w:left="1180" w:right="1680"/>
          <w:cols w:num="2" w:equalWidth="0">
            <w:col w:w="3547" w:space="645"/>
            <w:col w:w="5188"/>
          </w:cols>
        </w:sectPr>
      </w:pPr>
    </w:p>
    <w:p>
      <w:pPr>
        <w:pStyle w:val="BodyText"/>
        <w:spacing w:before="298"/>
        <w:ind w:left="0"/>
      </w:pPr>
    </w:p>
    <w:p>
      <w:pPr>
        <w:spacing w:before="0"/>
        <w:ind w:left="979" w:right="0" w:firstLine="0"/>
        <w:jc w:val="left"/>
        <w:rPr>
          <w:i/>
          <w:sz w:val="26"/>
        </w:rPr>
      </w:pPr>
      <w:r>
        <w:rPr>
          <w:i/>
          <w:sz w:val="26"/>
        </w:rPr>
        <w:t>Re:</w:t>
      </w:r>
      <w:r>
        <w:rPr>
          <w:i/>
          <w:spacing w:val="-7"/>
          <w:sz w:val="26"/>
        </w:rPr>
        <w:t> </w:t>
      </w:r>
      <w:r>
        <w:rPr>
          <w:i/>
          <w:sz w:val="26"/>
        </w:rPr>
        <w:t>Estimates</w:t>
      </w:r>
      <w:r>
        <w:rPr>
          <w:i/>
          <w:spacing w:val="-7"/>
          <w:sz w:val="26"/>
        </w:rPr>
        <w:t> </w:t>
      </w:r>
      <w:r>
        <w:rPr>
          <w:i/>
          <w:sz w:val="26"/>
        </w:rPr>
        <w:t>for</w:t>
      </w:r>
      <w:r>
        <w:rPr>
          <w:i/>
          <w:spacing w:val="-4"/>
          <w:sz w:val="26"/>
        </w:rPr>
        <w:t> </w:t>
      </w:r>
      <w:r>
        <w:rPr>
          <w:i/>
          <w:sz w:val="26"/>
        </w:rPr>
        <w:t>Medicaid</w:t>
      </w:r>
      <w:r>
        <w:rPr>
          <w:i/>
          <w:spacing w:val="-6"/>
          <w:sz w:val="26"/>
        </w:rPr>
        <w:t> </w:t>
      </w:r>
      <w:r>
        <w:rPr>
          <w:i/>
          <w:sz w:val="26"/>
        </w:rPr>
        <w:t>Policy</w:t>
      </w:r>
      <w:r>
        <w:rPr>
          <w:i/>
          <w:spacing w:val="-4"/>
          <w:sz w:val="26"/>
        </w:rPr>
        <w:t> </w:t>
      </w:r>
      <w:r>
        <w:rPr>
          <w:i/>
          <w:sz w:val="26"/>
        </w:rPr>
        <w:t>Options</w:t>
      </w:r>
      <w:r>
        <w:rPr>
          <w:i/>
          <w:spacing w:val="-6"/>
          <w:sz w:val="26"/>
        </w:rPr>
        <w:t> </w:t>
      </w:r>
      <w:r>
        <w:rPr>
          <w:i/>
          <w:sz w:val="26"/>
        </w:rPr>
        <w:t>and</w:t>
      </w:r>
      <w:r>
        <w:rPr>
          <w:i/>
          <w:spacing w:val="-6"/>
          <w:sz w:val="26"/>
        </w:rPr>
        <w:t> </w:t>
      </w:r>
      <w:r>
        <w:rPr>
          <w:i/>
          <w:sz w:val="26"/>
        </w:rPr>
        <w:t>State</w:t>
      </w:r>
      <w:r>
        <w:rPr>
          <w:i/>
          <w:spacing w:val="-7"/>
          <w:sz w:val="26"/>
        </w:rPr>
        <w:t> </w:t>
      </w:r>
      <w:r>
        <w:rPr>
          <w:i/>
          <w:spacing w:val="-2"/>
          <w:sz w:val="26"/>
        </w:rPr>
        <w:t>Responses</w:t>
      </w:r>
    </w:p>
    <w:p>
      <w:pPr>
        <w:pStyle w:val="BodyText"/>
        <w:spacing w:before="260"/>
      </w:pPr>
      <w:r>
        <w:rPr/>
        <w:t>Dear</w:t>
      </w:r>
      <w:r>
        <w:rPr>
          <w:spacing w:val="-8"/>
        </w:rPr>
        <w:t> </w:t>
      </w:r>
      <w:r>
        <w:rPr/>
        <w:t>Ranking</w:t>
      </w:r>
      <w:r>
        <w:rPr>
          <w:spacing w:val="-7"/>
        </w:rPr>
        <w:t> </w:t>
      </w:r>
      <w:r>
        <w:rPr/>
        <w:t>Member</w:t>
      </w:r>
      <w:r>
        <w:rPr>
          <w:spacing w:val="-5"/>
        </w:rPr>
        <w:t> </w:t>
      </w:r>
      <w:r>
        <w:rPr/>
        <w:t>Wyden</w:t>
      </w:r>
      <w:r>
        <w:rPr>
          <w:spacing w:val="-7"/>
        </w:rPr>
        <w:t> </w:t>
      </w:r>
      <w:r>
        <w:rPr/>
        <w:t>and</w:t>
      </w:r>
      <w:r>
        <w:rPr>
          <w:spacing w:val="-5"/>
        </w:rPr>
        <w:t> </w:t>
      </w:r>
      <w:r>
        <w:rPr/>
        <w:t>Ranking</w:t>
      </w:r>
      <w:r>
        <w:rPr>
          <w:spacing w:val="-4"/>
        </w:rPr>
        <w:t> </w:t>
      </w:r>
      <w:r>
        <w:rPr/>
        <w:t>Member</w:t>
      </w:r>
      <w:r>
        <w:rPr>
          <w:spacing w:val="-6"/>
        </w:rPr>
        <w:t> </w:t>
      </w:r>
      <w:r>
        <w:rPr>
          <w:spacing w:val="-2"/>
        </w:rPr>
        <w:t>Pallone:</w:t>
      </w:r>
    </w:p>
    <w:p>
      <w:pPr>
        <w:pStyle w:val="BodyText"/>
        <w:spacing w:before="260"/>
        <w:ind w:right="268"/>
      </w:pPr>
      <w:r>
        <w:rPr/>
        <w:t>This letter provides the Congressional Budget Office’s estimates you requested</w:t>
      </w:r>
      <w:r>
        <w:rPr>
          <w:spacing w:val="-3"/>
        </w:rPr>
        <w:t> </w:t>
      </w:r>
      <w:r>
        <w:rPr/>
        <w:t>for</w:t>
      </w:r>
      <w:r>
        <w:rPr>
          <w:spacing w:val="-3"/>
        </w:rPr>
        <w:t> </w:t>
      </w:r>
      <w:r>
        <w:rPr/>
        <w:t>five</w:t>
      </w:r>
      <w:r>
        <w:rPr>
          <w:spacing w:val="-3"/>
        </w:rPr>
        <w:t> </w:t>
      </w:r>
      <w:r>
        <w:rPr/>
        <w:t>policy</w:t>
      </w:r>
      <w:r>
        <w:rPr>
          <w:spacing w:val="-3"/>
        </w:rPr>
        <w:t> </w:t>
      </w:r>
      <w:r>
        <w:rPr/>
        <w:t>options</w:t>
      </w:r>
      <w:r>
        <w:rPr>
          <w:spacing w:val="-3"/>
        </w:rPr>
        <w:t> </w:t>
      </w:r>
      <w:r>
        <w:rPr/>
        <w:t>concerning Medicaid</w:t>
      </w:r>
      <w:r>
        <w:rPr>
          <w:spacing w:val="-3"/>
        </w:rPr>
        <w:t> </w:t>
      </w:r>
      <w:r>
        <w:rPr/>
        <w:t>and</w:t>
      </w:r>
      <w:r>
        <w:rPr>
          <w:spacing w:val="-3"/>
        </w:rPr>
        <w:t> </w:t>
      </w:r>
      <w:r>
        <w:rPr/>
        <w:t>explains how</w:t>
      </w:r>
      <w:r>
        <w:rPr>
          <w:spacing w:val="-3"/>
        </w:rPr>
        <w:t> </w:t>
      </w:r>
      <w:r>
        <w:rPr/>
        <w:t>the agency projects that states would respond to those policies. Under the first four</w:t>
      </w:r>
      <w:r>
        <w:rPr>
          <w:spacing w:val="-5"/>
        </w:rPr>
        <w:t> </w:t>
      </w:r>
      <w:r>
        <w:rPr/>
        <w:t>policy</w:t>
      </w:r>
      <w:r>
        <w:rPr>
          <w:spacing w:val="-2"/>
        </w:rPr>
        <w:t> </w:t>
      </w:r>
      <w:r>
        <w:rPr/>
        <w:t>options,</w:t>
      </w:r>
      <w:r>
        <w:rPr>
          <w:spacing w:val="-5"/>
        </w:rPr>
        <w:t> </w:t>
      </w:r>
      <w:r>
        <w:rPr/>
        <w:t>federal</w:t>
      </w:r>
      <w:r>
        <w:rPr>
          <w:spacing w:val="-5"/>
        </w:rPr>
        <w:t> </w:t>
      </w:r>
      <w:r>
        <w:rPr/>
        <w:t>contributions</w:t>
      </w:r>
      <w:r>
        <w:rPr>
          <w:spacing w:val="-5"/>
        </w:rPr>
        <w:t> </w:t>
      </w:r>
      <w:r>
        <w:rPr/>
        <w:t>to</w:t>
      </w:r>
      <w:r>
        <w:rPr>
          <w:spacing w:val="-5"/>
        </w:rPr>
        <w:t> </w:t>
      </w:r>
      <w:r>
        <w:rPr/>
        <w:t>the</w:t>
      </w:r>
      <w:r>
        <w:rPr>
          <w:spacing w:val="-5"/>
        </w:rPr>
        <w:t> </w:t>
      </w:r>
      <w:r>
        <w:rPr/>
        <w:t>Medicaid</w:t>
      </w:r>
      <w:r>
        <w:rPr>
          <w:spacing w:val="-2"/>
        </w:rPr>
        <w:t> </w:t>
      </w:r>
      <w:r>
        <w:rPr/>
        <w:t>program</w:t>
      </w:r>
      <w:r>
        <w:rPr>
          <w:spacing w:val="-2"/>
        </w:rPr>
        <w:t> </w:t>
      </w:r>
      <w:r>
        <w:rPr/>
        <w:t>would</w:t>
      </w:r>
      <w:r>
        <w:rPr>
          <w:spacing w:val="-5"/>
        </w:rPr>
        <w:t> </w:t>
      </w:r>
      <w:r>
        <w:rPr/>
        <w:t>be smaller, reducing federal budget deficits. CBO anticipates that states would respond in four ways:</w:t>
      </w:r>
    </w:p>
    <w:p>
      <w:pPr>
        <w:pStyle w:val="ListParagraph"/>
        <w:numPr>
          <w:ilvl w:val="0"/>
          <w:numId w:val="1"/>
        </w:numPr>
        <w:tabs>
          <w:tab w:pos="1699" w:val="left" w:leader="none"/>
        </w:tabs>
        <w:spacing w:line="240" w:lineRule="auto" w:before="259" w:after="0"/>
        <w:ind w:left="1699" w:right="538" w:hanging="361"/>
        <w:jc w:val="left"/>
        <w:rPr>
          <w:sz w:val="26"/>
        </w:rPr>
      </w:pPr>
      <w:r>
        <w:rPr>
          <w:sz w:val="26"/>
        </w:rPr>
        <w:t>Spend</w:t>
      </w:r>
      <w:r>
        <w:rPr>
          <w:spacing w:val="-5"/>
          <w:sz w:val="26"/>
        </w:rPr>
        <w:t> </w:t>
      </w:r>
      <w:r>
        <w:rPr>
          <w:sz w:val="26"/>
        </w:rPr>
        <w:t>more</w:t>
      </w:r>
      <w:r>
        <w:rPr>
          <w:spacing w:val="-5"/>
          <w:sz w:val="26"/>
        </w:rPr>
        <w:t> </w:t>
      </w:r>
      <w:r>
        <w:rPr>
          <w:sz w:val="26"/>
        </w:rPr>
        <w:t>themselves</w:t>
      </w:r>
      <w:r>
        <w:rPr>
          <w:spacing w:val="-5"/>
          <w:sz w:val="26"/>
        </w:rPr>
        <w:t> </w:t>
      </w:r>
      <w:r>
        <w:rPr>
          <w:sz w:val="26"/>
        </w:rPr>
        <w:t>on</w:t>
      </w:r>
      <w:r>
        <w:rPr>
          <w:spacing w:val="-5"/>
          <w:sz w:val="26"/>
        </w:rPr>
        <w:t> </w:t>
      </w:r>
      <w:r>
        <w:rPr>
          <w:sz w:val="26"/>
        </w:rPr>
        <w:t>Medicaid,</w:t>
      </w:r>
      <w:r>
        <w:rPr>
          <w:spacing w:val="-5"/>
          <w:sz w:val="26"/>
        </w:rPr>
        <w:t> </w:t>
      </w:r>
      <w:r>
        <w:rPr>
          <w:sz w:val="26"/>
        </w:rPr>
        <w:t>mainly</w:t>
      </w:r>
      <w:r>
        <w:rPr>
          <w:spacing w:val="-2"/>
          <w:sz w:val="26"/>
        </w:rPr>
        <w:t> </w:t>
      </w:r>
      <w:r>
        <w:rPr>
          <w:sz w:val="26"/>
        </w:rPr>
        <w:t>using</w:t>
      </w:r>
      <w:r>
        <w:rPr>
          <w:spacing w:val="-5"/>
          <w:sz w:val="26"/>
        </w:rPr>
        <w:t> </w:t>
      </w:r>
      <w:r>
        <w:rPr>
          <w:sz w:val="26"/>
        </w:rPr>
        <w:t>a</w:t>
      </w:r>
      <w:r>
        <w:rPr>
          <w:spacing w:val="-5"/>
          <w:sz w:val="26"/>
        </w:rPr>
        <w:t> </w:t>
      </w:r>
      <w:r>
        <w:rPr>
          <w:sz w:val="26"/>
        </w:rPr>
        <w:t>mix</w:t>
      </w:r>
      <w:r>
        <w:rPr>
          <w:spacing w:val="-5"/>
          <w:sz w:val="26"/>
        </w:rPr>
        <w:t> </w:t>
      </w:r>
      <w:r>
        <w:rPr>
          <w:sz w:val="26"/>
        </w:rPr>
        <w:t>of</w:t>
      </w:r>
      <w:r>
        <w:rPr>
          <w:spacing w:val="-5"/>
          <w:sz w:val="26"/>
        </w:rPr>
        <w:t> </w:t>
      </w:r>
      <w:r>
        <w:rPr>
          <w:sz w:val="26"/>
        </w:rPr>
        <w:t>revenue increases and reduced spending on other programs for financing,</w:t>
      </w:r>
    </w:p>
    <w:p>
      <w:pPr>
        <w:pStyle w:val="ListParagraph"/>
        <w:numPr>
          <w:ilvl w:val="0"/>
          <w:numId w:val="1"/>
        </w:numPr>
        <w:tabs>
          <w:tab w:pos="1699" w:val="left" w:leader="none"/>
        </w:tabs>
        <w:spacing w:line="240" w:lineRule="auto" w:before="119" w:after="0"/>
        <w:ind w:left="1699" w:right="0" w:hanging="360"/>
        <w:jc w:val="left"/>
        <w:rPr>
          <w:sz w:val="26"/>
        </w:rPr>
      </w:pPr>
      <w:r>
        <w:rPr>
          <w:sz w:val="26"/>
        </w:rPr>
        <w:t>Reduce</w:t>
      </w:r>
      <w:r>
        <w:rPr>
          <w:spacing w:val="-6"/>
          <w:sz w:val="26"/>
        </w:rPr>
        <w:t> </w:t>
      </w:r>
      <w:r>
        <w:rPr>
          <w:sz w:val="26"/>
        </w:rPr>
        <w:t>payment</w:t>
      </w:r>
      <w:r>
        <w:rPr>
          <w:spacing w:val="-6"/>
          <w:sz w:val="26"/>
        </w:rPr>
        <w:t> </w:t>
      </w:r>
      <w:r>
        <w:rPr>
          <w:sz w:val="26"/>
        </w:rPr>
        <w:t>rates</w:t>
      </w:r>
      <w:r>
        <w:rPr>
          <w:spacing w:val="-6"/>
          <w:sz w:val="26"/>
        </w:rPr>
        <w:t> </w:t>
      </w:r>
      <w:r>
        <w:rPr>
          <w:sz w:val="26"/>
        </w:rPr>
        <w:t>to</w:t>
      </w:r>
      <w:r>
        <w:rPr>
          <w:spacing w:val="-5"/>
          <w:sz w:val="26"/>
        </w:rPr>
        <w:t> </w:t>
      </w:r>
      <w:r>
        <w:rPr>
          <w:sz w:val="26"/>
        </w:rPr>
        <w:t>health</w:t>
      </w:r>
      <w:r>
        <w:rPr>
          <w:spacing w:val="-6"/>
          <w:sz w:val="26"/>
        </w:rPr>
        <w:t> </w:t>
      </w:r>
      <w:r>
        <w:rPr>
          <w:sz w:val="26"/>
        </w:rPr>
        <w:t>care</w:t>
      </w:r>
      <w:r>
        <w:rPr>
          <w:spacing w:val="-3"/>
          <w:sz w:val="26"/>
        </w:rPr>
        <w:t> </w:t>
      </w:r>
      <w:r>
        <w:rPr>
          <w:spacing w:val="-2"/>
          <w:sz w:val="26"/>
        </w:rPr>
        <w:t>providers,</w:t>
      </w:r>
    </w:p>
    <w:p>
      <w:pPr>
        <w:pStyle w:val="ListParagraph"/>
        <w:numPr>
          <w:ilvl w:val="0"/>
          <w:numId w:val="1"/>
        </w:numPr>
        <w:tabs>
          <w:tab w:pos="1699" w:val="left" w:leader="none"/>
        </w:tabs>
        <w:spacing w:line="240" w:lineRule="auto" w:before="118" w:after="0"/>
        <w:ind w:left="1699" w:right="0" w:hanging="360"/>
        <w:jc w:val="left"/>
        <w:rPr>
          <w:sz w:val="26"/>
        </w:rPr>
      </w:pPr>
      <w:r>
        <w:rPr>
          <w:sz w:val="26"/>
        </w:rPr>
        <w:t>Limit</w:t>
      </w:r>
      <w:r>
        <w:rPr>
          <w:spacing w:val="-6"/>
          <w:sz w:val="26"/>
        </w:rPr>
        <w:t> </w:t>
      </w:r>
      <w:r>
        <w:rPr>
          <w:sz w:val="26"/>
        </w:rPr>
        <w:t>the</w:t>
      </w:r>
      <w:r>
        <w:rPr>
          <w:spacing w:val="-6"/>
          <w:sz w:val="26"/>
        </w:rPr>
        <w:t> </w:t>
      </w:r>
      <w:r>
        <w:rPr>
          <w:sz w:val="26"/>
        </w:rPr>
        <w:t>scope</w:t>
      </w:r>
      <w:r>
        <w:rPr>
          <w:spacing w:val="-5"/>
          <w:sz w:val="26"/>
        </w:rPr>
        <w:t> </w:t>
      </w:r>
      <w:r>
        <w:rPr>
          <w:sz w:val="26"/>
        </w:rPr>
        <w:t>or</w:t>
      </w:r>
      <w:r>
        <w:rPr>
          <w:spacing w:val="-6"/>
          <w:sz w:val="26"/>
        </w:rPr>
        <w:t> </w:t>
      </w:r>
      <w:r>
        <w:rPr>
          <w:sz w:val="26"/>
        </w:rPr>
        <w:t>amount</w:t>
      </w:r>
      <w:r>
        <w:rPr>
          <w:spacing w:val="-5"/>
          <w:sz w:val="26"/>
        </w:rPr>
        <w:t> </w:t>
      </w:r>
      <w:r>
        <w:rPr>
          <w:sz w:val="26"/>
        </w:rPr>
        <w:t>of</w:t>
      </w:r>
      <w:r>
        <w:rPr>
          <w:spacing w:val="-6"/>
          <w:sz w:val="26"/>
        </w:rPr>
        <w:t> </w:t>
      </w:r>
      <w:r>
        <w:rPr>
          <w:sz w:val="26"/>
        </w:rPr>
        <w:t>optional</w:t>
      </w:r>
      <w:r>
        <w:rPr>
          <w:spacing w:val="-5"/>
          <w:sz w:val="26"/>
        </w:rPr>
        <w:t> </w:t>
      </w:r>
      <w:r>
        <w:rPr>
          <w:sz w:val="26"/>
        </w:rPr>
        <w:t>benefits,</w:t>
      </w:r>
      <w:r>
        <w:rPr>
          <w:spacing w:val="-6"/>
          <w:sz w:val="26"/>
        </w:rPr>
        <w:t> </w:t>
      </w:r>
      <w:r>
        <w:rPr>
          <w:spacing w:val="-5"/>
          <w:sz w:val="26"/>
        </w:rPr>
        <w:t>and</w:t>
      </w:r>
    </w:p>
    <w:p>
      <w:pPr>
        <w:pStyle w:val="ListParagraph"/>
        <w:numPr>
          <w:ilvl w:val="0"/>
          <w:numId w:val="1"/>
        </w:numPr>
        <w:tabs>
          <w:tab w:pos="1699" w:val="left" w:leader="none"/>
        </w:tabs>
        <w:spacing w:line="240" w:lineRule="auto" w:before="123" w:after="0"/>
        <w:ind w:left="1699" w:right="0" w:hanging="360"/>
        <w:jc w:val="left"/>
        <w:rPr>
          <w:sz w:val="26"/>
        </w:rPr>
      </w:pPr>
      <w:r>
        <w:rPr>
          <w:sz w:val="26"/>
        </w:rPr>
        <w:t>Reduce</w:t>
      </w:r>
      <w:r>
        <w:rPr>
          <w:spacing w:val="-7"/>
          <w:sz w:val="26"/>
        </w:rPr>
        <w:t> </w:t>
      </w:r>
      <w:r>
        <w:rPr>
          <w:sz w:val="26"/>
        </w:rPr>
        <w:t>enrollment</w:t>
      </w:r>
      <w:r>
        <w:rPr>
          <w:spacing w:val="-7"/>
          <w:sz w:val="26"/>
        </w:rPr>
        <w:t> </w:t>
      </w:r>
      <w:r>
        <w:rPr>
          <w:sz w:val="26"/>
        </w:rPr>
        <w:t>in</w:t>
      </w:r>
      <w:r>
        <w:rPr>
          <w:spacing w:val="-4"/>
          <w:sz w:val="26"/>
        </w:rPr>
        <w:t> </w:t>
      </w:r>
      <w:r>
        <w:rPr>
          <w:spacing w:val="-2"/>
          <w:sz w:val="26"/>
        </w:rPr>
        <w:t>Medicaid.</w:t>
      </w:r>
    </w:p>
    <w:p>
      <w:pPr>
        <w:pStyle w:val="BodyText"/>
        <w:spacing w:before="257"/>
        <w:ind w:right="268"/>
      </w:pPr>
      <w:r>
        <w:rPr/>
        <w:t>Under a fifth policy option, which also would reduce the federal budget deficit,</w:t>
      </w:r>
      <w:r>
        <w:rPr>
          <w:spacing w:val="-5"/>
        </w:rPr>
        <w:t> </w:t>
      </w:r>
      <w:r>
        <w:rPr/>
        <w:t>only</w:t>
      </w:r>
      <w:r>
        <w:rPr>
          <w:spacing w:val="-5"/>
        </w:rPr>
        <w:t> </w:t>
      </w:r>
      <w:r>
        <w:rPr/>
        <w:t>Medicaid</w:t>
      </w:r>
      <w:r>
        <w:rPr>
          <w:spacing w:val="-2"/>
        </w:rPr>
        <w:t> </w:t>
      </w:r>
      <w:r>
        <w:rPr/>
        <w:t>enrollment</w:t>
      </w:r>
      <w:r>
        <w:rPr>
          <w:spacing w:val="-2"/>
        </w:rPr>
        <w:t> </w:t>
      </w:r>
      <w:r>
        <w:rPr/>
        <w:t>would</w:t>
      </w:r>
      <w:r>
        <w:rPr>
          <w:spacing w:val="-2"/>
        </w:rPr>
        <w:t> </w:t>
      </w:r>
      <w:r>
        <w:rPr/>
        <w:t>be</w:t>
      </w:r>
      <w:r>
        <w:rPr>
          <w:spacing w:val="-5"/>
        </w:rPr>
        <w:t> </w:t>
      </w:r>
      <w:r>
        <w:rPr/>
        <w:t>reduced</w:t>
      </w:r>
      <w:r>
        <w:rPr>
          <w:spacing w:val="-5"/>
        </w:rPr>
        <w:t> </w:t>
      </w:r>
      <w:r>
        <w:rPr/>
        <w:t>as</w:t>
      </w:r>
      <w:r>
        <w:rPr>
          <w:spacing w:val="-5"/>
        </w:rPr>
        <w:t> </w:t>
      </w:r>
      <w:r>
        <w:rPr/>
        <w:t>a</w:t>
      </w:r>
      <w:r>
        <w:rPr>
          <w:spacing w:val="-5"/>
        </w:rPr>
        <w:t> </w:t>
      </w:r>
      <w:r>
        <w:rPr/>
        <w:t>result</w:t>
      </w:r>
      <w:r>
        <w:rPr>
          <w:spacing w:val="-5"/>
        </w:rPr>
        <w:t> </w:t>
      </w:r>
      <w:r>
        <w:rPr/>
        <w:t>of</w:t>
      </w:r>
      <w:r>
        <w:rPr>
          <w:spacing w:val="-2"/>
        </w:rPr>
        <w:t> </w:t>
      </w:r>
      <w:r>
        <w:rPr/>
        <w:t>the</w:t>
      </w:r>
      <w:r>
        <w:rPr>
          <w:spacing w:val="-2"/>
        </w:rPr>
        <w:t> </w:t>
      </w:r>
      <w:r>
        <w:rPr/>
        <w:t>policy change. The options and CBO’s estimates are explained below.</w:t>
      </w:r>
    </w:p>
    <w:p>
      <w:pPr>
        <w:pStyle w:val="Heading1"/>
        <w:spacing w:before="260"/>
      </w:pPr>
      <w:bookmarkStart w:name="Policy Specifications" w:id="1"/>
      <w:bookmarkEnd w:id="1"/>
      <w:r>
        <w:rPr>
          <w:b w:val="0"/>
        </w:rPr>
      </w:r>
      <w:r>
        <w:rPr/>
        <w:t>Policy</w:t>
      </w:r>
      <w:r>
        <w:rPr>
          <w:spacing w:val="-8"/>
        </w:rPr>
        <w:t> </w:t>
      </w:r>
      <w:r>
        <w:rPr>
          <w:spacing w:val="-2"/>
        </w:rPr>
        <w:t>Specifications</w:t>
      </w:r>
    </w:p>
    <w:p>
      <w:pPr>
        <w:pStyle w:val="BodyText"/>
        <w:spacing w:before="58"/>
      </w:pPr>
      <w:r>
        <w:rPr/>
        <w:t>The</w:t>
      </w:r>
      <w:r>
        <w:rPr>
          <w:spacing w:val="-7"/>
        </w:rPr>
        <w:t> </w:t>
      </w:r>
      <w:r>
        <w:rPr/>
        <w:t>first</w:t>
      </w:r>
      <w:r>
        <w:rPr>
          <w:spacing w:val="-6"/>
        </w:rPr>
        <w:t> </w:t>
      </w:r>
      <w:r>
        <w:rPr/>
        <w:t>three</w:t>
      </w:r>
      <w:r>
        <w:rPr>
          <w:spacing w:val="-6"/>
        </w:rPr>
        <w:t> </w:t>
      </w:r>
      <w:r>
        <w:rPr/>
        <w:t>estimates</w:t>
      </w:r>
      <w:r>
        <w:rPr>
          <w:spacing w:val="-6"/>
        </w:rPr>
        <w:t> </w:t>
      </w:r>
      <w:r>
        <w:rPr/>
        <w:t>you</w:t>
      </w:r>
      <w:r>
        <w:rPr>
          <w:spacing w:val="-6"/>
        </w:rPr>
        <w:t> </w:t>
      </w:r>
      <w:r>
        <w:rPr/>
        <w:t>asked</w:t>
      </w:r>
      <w:r>
        <w:rPr>
          <w:spacing w:val="-7"/>
        </w:rPr>
        <w:t> </w:t>
      </w:r>
      <w:r>
        <w:rPr/>
        <w:t>for</w:t>
      </w:r>
      <w:r>
        <w:rPr>
          <w:spacing w:val="-6"/>
        </w:rPr>
        <w:t> </w:t>
      </w:r>
      <w:r>
        <w:rPr/>
        <w:t>involve</w:t>
      </w:r>
      <w:r>
        <w:rPr>
          <w:spacing w:val="-3"/>
        </w:rPr>
        <w:t> </w:t>
      </w:r>
      <w:r>
        <w:rPr/>
        <w:t>updates</w:t>
      </w:r>
      <w:r>
        <w:rPr>
          <w:spacing w:val="-6"/>
        </w:rPr>
        <w:t> </w:t>
      </w:r>
      <w:r>
        <w:rPr/>
        <w:t>to</w:t>
      </w:r>
      <w:r>
        <w:rPr>
          <w:spacing w:val="-4"/>
        </w:rPr>
        <w:t> </w:t>
      </w:r>
      <w:r>
        <w:rPr/>
        <w:t>policy</w:t>
      </w:r>
      <w:r>
        <w:rPr>
          <w:spacing w:val="-3"/>
        </w:rPr>
        <w:t> </w:t>
      </w:r>
      <w:r>
        <w:rPr/>
        <w:t>options</w:t>
      </w:r>
      <w:r>
        <w:rPr>
          <w:spacing w:val="-6"/>
        </w:rPr>
        <w:t> </w:t>
      </w:r>
      <w:r>
        <w:rPr>
          <w:spacing w:val="-4"/>
        </w:rPr>
        <w:t>that</w:t>
      </w: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spacing w:before="126"/>
        <w:ind w:left="0"/>
        <w:rPr>
          <w:sz w:val="18"/>
        </w:rPr>
      </w:pPr>
    </w:p>
    <w:p>
      <w:pPr>
        <w:spacing w:before="0"/>
        <w:ind w:left="980" w:right="0" w:firstLine="0"/>
        <w:jc w:val="left"/>
        <w:rPr>
          <w:rFonts w:ascii="Arial"/>
          <w:b/>
          <w:i/>
          <w:sz w:val="18"/>
        </w:rPr>
      </w:pPr>
      <w:hyperlink r:id="rId6">
        <w:r>
          <w:rPr>
            <w:rFonts w:ascii="Arial"/>
            <w:b/>
            <w:i/>
            <w:color w:val="001F5F"/>
            <w:spacing w:val="-2"/>
            <w:sz w:val="18"/>
          </w:rPr>
          <w:t>www.cbo.gov</w:t>
        </w:r>
      </w:hyperlink>
    </w:p>
    <w:p>
      <w:pPr>
        <w:spacing w:after="0"/>
        <w:jc w:val="left"/>
        <w:rPr>
          <w:rFonts w:ascii="Arial"/>
          <w:sz w:val="18"/>
        </w:rPr>
        <w:sectPr>
          <w:type w:val="continuous"/>
          <w:pgSz w:w="12240" w:h="15840"/>
          <w:pgMar w:top="1360" w:bottom="280" w:left="1180" w:right="1680"/>
        </w:sectPr>
      </w:pPr>
    </w:p>
    <w:p>
      <w:pPr>
        <w:pStyle w:val="BodyText"/>
        <w:spacing w:before="287"/>
        <w:ind w:right="248"/>
        <w:jc w:val="both"/>
      </w:pPr>
      <w:r>
        <w:rPr/>
        <w:t>CBO</w:t>
      </w:r>
      <w:r>
        <w:rPr>
          <w:spacing w:val="-3"/>
        </w:rPr>
        <w:t> </w:t>
      </w:r>
      <w:r>
        <w:rPr/>
        <w:t>has described previously.</w:t>
      </w:r>
      <w:hyperlink w:history="true" w:anchor="_bookmark0">
        <w:r>
          <w:rPr>
            <w:vertAlign w:val="superscript"/>
          </w:rPr>
          <w:t>1</w:t>
        </w:r>
      </w:hyperlink>
      <w:r>
        <w:rPr>
          <w:spacing w:val="-1"/>
          <w:vertAlign w:val="baseline"/>
        </w:rPr>
        <w:t> </w:t>
      </w:r>
      <w:r>
        <w:rPr>
          <w:vertAlign w:val="baseline"/>
        </w:rPr>
        <w:t>You</w:t>
      </w:r>
      <w:r>
        <w:rPr>
          <w:spacing w:val="-3"/>
          <w:vertAlign w:val="baseline"/>
        </w:rPr>
        <w:t> </w:t>
      </w:r>
      <w:r>
        <w:rPr>
          <w:vertAlign w:val="baseline"/>
        </w:rPr>
        <w:t>described the</w:t>
      </w:r>
      <w:r>
        <w:rPr>
          <w:spacing w:val="-3"/>
          <w:vertAlign w:val="baseline"/>
        </w:rPr>
        <w:t> </w:t>
      </w:r>
      <w:r>
        <w:rPr>
          <w:vertAlign w:val="baseline"/>
        </w:rPr>
        <w:t>fourth</w:t>
      </w:r>
      <w:r>
        <w:rPr>
          <w:spacing w:val="-3"/>
          <w:vertAlign w:val="baseline"/>
        </w:rPr>
        <w:t> </w:t>
      </w:r>
      <w:r>
        <w:rPr>
          <w:vertAlign w:val="baseline"/>
        </w:rPr>
        <w:t>and</w:t>
      </w:r>
      <w:r>
        <w:rPr>
          <w:spacing w:val="-3"/>
          <w:vertAlign w:val="baseline"/>
        </w:rPr>
        <w:t> </w:t>
      </w:r>
      <w:r>
        <w:rPr>
          <w:vertAlign w:val="baseline"/>
        </w:rPr>
        <w:t>fifth options</w:t>
      </w:r>
      <w:r>
        <w:rPr>
          <w:spacing w:val="-3"/>
          <w:vertAlign w:val="baseline"/>
        </w:rPr>
        <w:t> </w:t>
      </w:r>
      <w:r>
        <w:rPr>
          <w:vertAlign w:val="baseline"/>
        </w:rPr>
        <w:t>for which</w:t>
      </w:r>
      <w:r>
        <w:rPr>
          <w:spacing w:val="-5"/>
          <w:vertAlign w:val="baseline"/>
        </w:rPr>
        <w:t> </w:t>
      </w:r>
      <w:r>
        <w:rPr>
          <w:vertAlign w:val="baseline"/>
        </w:rPr>
        <w:t>you</w:t>
      </w:r>
      <w:r>
        <w:rPr>
          <w:spacing w:val="-2"/>
          <w:vertAlign w:val="baseline"/>
        </w:rPr>
        <w:t> </w:t>
      </w:r>
      <w:r>
        <w:rPr>
          <w:vertAlign w:val="baseline"/>
        </w:rPr>
        <w:t>seek</w:t>
      </w:r>
      <w:r>
        <w:rPr>
          <w:spacing w:val="-5"/>
          <w:vertAlign w:val="baseline"/>
        </w:rPr>
        <w:t> </w:t>
      </w:r>
      <w:r>
        <w:rPr>
          <w:vertAlign w:val="baseline"/>
        </w:rPr>
        <w:t>estimates.</w:t>
      </w:r>
      <w:r>
        <w:rPr>
          <w:spacing w:val="-5"/>
          <w:vertAlign w:val="baseline"/>
        </w:rPr>
        <w:t> </w:t>
      </w:r>
      <w:r>
        <w:rPr>
          <w:vertAlign w:val="baseline"/>
        </w:rPr>
        <w:t>CBO’s</w:t>
      </w:r>
      <w:r>
        <w:rPr>
          <w:spacing w:val="-2"/>
          <w:vertAlign w:val="baseline"/>
        </w:rPr>
        <w:t> </w:t>
      </w:r>
      <w:r>
        <w:rPr>
          <w:vertAlign w:val="baseline"/>
        </w:rPr>
        <w:t>analysis</w:t>
      </w:r>
      <w:r>
        <w:rPr>
          <w:spacing w:val="-5"/>
          <w:vertAlign w:val="baseline"/>
        </w:rPr>
        <w:t> </w:t>
      </w:r>
      <w:r>
        <w:rPr>
          <w:vertAlign w:val="baseline"/>
        </w:rPr>
        <w:t>and</w:t>
      </w:r>
      <w:r>
        <w:rPr>
          <w:spacing w:val="-2"/>
          <w:vertAlign w:val="baseline"/>
        </w:rPr>
        <w:t> </w:t>
      </w:r>
      <w:r>
        <w:rPr>
          <w:vertAlign w:val="baseline"/>
        </w:rPr>
        <w:t>estimates</w:t>
      </w:r>
      <w:r>
        <w:rPr>
          <w:spacing w:val="-5"/>
          <w:vertAlign w:val="baseline"/>
        </w:rPr>
        <w:t> </w:t>
      </w:r>
      <w:r>
        <w:rPr>
          <w:vertAlign w:val="baseline"/>
        </w:rPr>
        <w:t>assume</w:t>
      </w:r>
      <w:r>
        <w:rPr>
          <w:spacing w:val="-5"/>
          <w:vertAlign w:val="baseline"/>
        </w:rPr>
        <w:t> </w:t>
      </w:r>
      <w:r>
        <w:rPr>
          <w:vertAlign w:val="baseline"/>
        </w:rPr>
        <w:t>an</w:t>
      </w:r>
      <w:r>
        <w:rPr>
          <w:spacing w:val="-5"/>
          <w:vertAlign w:val="baseline"/>
        </w:rPr>
        <w:t> </w:t>
      </w:r>
      <w:r>
        <w:rPr>
          <w:vertAlign w:val="baseline"/>
        </w:rPr>
        <w:t>enactment date of October 1, 2025, for all five options.</w:t>
      </w:r>
    </w:p>
    <w:p>
      <w:pPr>
        <w:spacing w:before="259"/>
        <w:ind w:left="979" w:right="268" w:firstLine="0"/>
        <w:jc w:val="left"/>
        <w:rPr>
          <w:sz w:val="26"/>
        </w:rPr>
      </w:pPr>
      <w:r>
        <w:rPr>
          <w:b/>
          <w:sz w:val="26"/>
        </w:rPr>
        <w:t>Option 1, Set the Federal Medicaid Matching Rate for the Expansion Population Equal to That for Other Enrollees. </w:t>
      </w:r>
      <w:r>
        <w:rPr>
          <w:sz w:val="26"/>
        </w:rPr>
        <w:t>The federal government’s share</w:t>
      </w:r>
      <w:r>
        <w:rPr>
          <w:spacing w:val="-4"/>
          <w:sz w:val="26"/>
        </w:rPr>
        <w:t> </w:t>
      </w:r>
      <w:r>
        <w:rPr>
          <w:sz w:val="26"/>
        </w:rPr>
        <w:t>of</w:t>
      </w:r>
      <w:r>
        <w:rPr>
          <w:spacing w:val="-4"/>
          <w:sz w:val="26"/>
        </w:rPr>
        <w:t> </w:t>
      </w:r>
      <w:r>
        <w:rPr>
          <w:sz w:val="26"/>
        </w:rPr>
        <w:t>costs</w:t>
      </w:r>
      <w:r>
        <w:rPr>
          <w:spacing w:val="-4"/>
          <w:sz w:val="26"/>
        </w:rPr>
        <w:t> </w:t>
      </w:r>
      <w:r>
        <w:rPr>
          <w:sz w:val="26"/>
        </w:rPr>
        <w:t>for</w:t>
      </w:r>
      <w:r>
        <w:rPr>
          <w:spacing w:val="-4"/>
          <w:sz w:val="26"/>
        </w:rPr>
        <w:t> </w:t>
      </w:r>
      <w:r>
        <w:rPr>
          <w:sz w:val="26"/>
        </w:rPr>
        <w:t>medical</w:t>
      </w:r>
      <w:r>
        <w:rPr>
          <w:spacing w:val="-4"/>
          <w:sz w:val="26"/>
        </w:rPr>
        <w:t> </w:t>
      </w:r>
      <w:r>
        <w:rPr>
          <w:sz w:val="26"/>
        </w:rPr>
        <w:t>services</w:t>
      </w:r>
      <w:r>
        <w:rPr>
          <w:spacing w:val="-4"/>
          <w:sz w:val="26"/>
        </w:rPr>
        <w:t> </w:t>
      </w:r>
      <w:r>
        <w:rPr>
          <w:sz w:val="26"/>
        </w:rPr>
        <w:t>is</w:t>
      </w:r>
      <w:r>
        <w:rPr>
          <w:spacing w:val="-4"/>
          <w:sz w:val="26"/>
        </w:rPr>
        <w:t> </w:t>
      </w:r>
      <w:r>
        <w:rPr>
          <w:sz w:val="26"/>
        </w:rPr>
        <w:t>larger</w:t>
      </w:r>
      <w:r>
        <w:rPr>
          <w:spacing w:val="-4"/>
          <w:sz w:val="26"/>
        </w:rPr>
        <w:t> </w:t>
      </w:r>
      <w:r>
        <w:rPr>
          <w:sz w:val="26"/>
        </w:rPr>
        <w:t>for</w:t>
      </w:r>
      <w:r>
        <w:rPr>
          <w:spacing w:val="-4"/>
          <w:sz w:val="26"/>
        </w:rPr>
        <w:t> </w:t>
      </w:r>
      <w:r>
        <w:rPr>
          <w:sz w:val="26"/>
        </w:rPr>
        <w:t>enrollees</w:t>
      </w:r>
      <w:r>
        <w:rPr>
          <w:spacing w:val="-1"/>
          <w:sz w:val="26"/>
        </w:rPr>
        <w:t> </w:t>
      </w:r>
      <w:r>
        <w:rPr>
          <w:sz w:val="26"/>
        </w:rPr>
        <w:t>who</w:t>
      </w:r>
      <w:r>
        <w:rPr>
          <w:spacing w:val="-4"/>
          <w:sz w:val="26"/>
        </w:rPr>
        <w:t> </w:t>
      </w:r>
      <w:r>
        <w:rPr>
          <w:sz w:val="26"/>
        </w:rPr>
        <w:t>became</w:t>
      </w:r>
      <w:r>
        <w:rPr>
          <w:spacing w:val="-4"/>
          <w:sz w:val="26"/>
        </w:rPr>
        <w:t> </w:t>
      </w:r>
      <w:r>
        <w:rPr>
          <w:sz w:val="26"/>
        </w:rPr>
        <w:t>eligible for Medicaid under the Affordable Care Act (ACA) than it is for other enrollees. That law allowed states to expand eligibility to all adults under</w:t>
      </w:r>
    </w:p>
    <w:p>
      <w:pPr>
        <w:pStyle w:val="BodyText"/>
        <w:ind w:right="268"/>
      </w:pPr>
      <w:r>
        <w:rPr/>
        <w:t>age 65 (including parents and adults without dependent children) whose income is below 138 percent of the federal poverty guidelines. (Forty states and the District of Columbia have adopted the expansion.) The federal government’s share of Medicaid costs, referred to as the federal medical assistance</w:t>
      </w:r>
      <w:r>
        <w:rPr>
          <w:spacing w:val="-5"/>
        </w:rPr>
        <w:t> </w:t>
      </w:r>
      <w:r>
        <w:rPr/>
        <w:t>percentage</w:t>
      </w:r>
      <w:r>
        <w:rPr>
          <w:spacing w:val="-2"/>
        </w:rPr>
        <w:t> </w:t>
      </w:r>
      <w:r>
        <w:rPr/>
        <w:t>(FMAP),</w:t>
      </w:r>
      <w:r>
        <w:rPr>
          <w:spacing w:val="-5"/>
        </w:rPr>
        <w:t> </w:t>
      </w:r>
      <w:r>
        <w:rPr/>
        <w:t>is</w:t>
      </w:r>
      <w:r>
        <w:rPr>
          <w:spacing w:val="-5"/>
        </w:rPr>
        <w:t> </w:t>
      </w:r>
      <w:r>
        <w:rPr/>
        <w:t>fixed</w:t>
      </w:r>
      <w:r>
        <w:rPr>
          <w:spacing w:val="-5"/>
        </w:rPr>
        <w:t> </w:t>
      </w:r>
      <w:r>
        <w:rPr/>
        <w:t>at</w:t>
      </w:r>
      <w:r>
        <w:rPr>
          <w:spacing w:val="-5"/>
        </w:rPr>
        <w:t> </w:t>
      </w:r>
      <w:r>
        <w:rPr/>
        <w:t>90</w:t>
      </w:r>
      <w:r>
        <w:rPr>
          <w:spacing w:val="-2"/>
        </w:rPr>
        <w:t> </w:t>
      </w:r>
      <w:r>
        <w:rPr/>
        <w:t>percent</w:t>
      </w:r>
      <w:r>
        <w:rPr>
          <w:spacing w:val="-5"/>
        </w:rPr>
        <w:t> </w:t>
      </w:r>
      <w:r>
        <w:rPr/>
        <w:t>for</w:t>
      </w:r>
      <w:r>
        <w:rPr>
          <w:spacing w:val="-5"/>
        </w:rPr>
        <w:t> </w:t>
      </w:r>
      <w:r>
        <w:rPr/>
        <w:t>enrollees</w:t>
      </w:r>
      <w:r>
        <w:rPr>
          <w:spacing w:val="-2"/>
        </w:rPr>
        <w:t> </w:t>
      </w:r>
      <w:r>
        <w:rPr/>
        <w:t>who</w:t>
      </w:r>
      <w:r>
        <w:rPr>
          <w:spacing w:val="-5"/>
        </w:rPr>
        <w:t> </w:t>
      </w:r>
      <w:r>
        <w:rPr/>
        <w:t>gained eligibility under the ACA; that amount does not vary by state.</w:t>
      </w:r>
    </w:p>
    <w:p>
      <w:pPr>
        <w:pStyle w:val="BodyText"/>
        <w:spacing w:before="260"/>
        <w:ind w:right="211"/>
      </w:pPr>
      <w:r>
        <w:rPr/>
        <w:t>Under this policy option, the FMAP for enrollees who became eligible under the</w:t>
      </w:r>
      <w:r>
        <w:rPr>
          <w:spacing w:val="-4"/>
        </w:rPr>
        <w:t> </w:t>
      </w:r>
      <w:r>
        <w:rPr/>
        <w:t>Medicaid</w:t>
      </w:r>
      <w:r>
        <w:rPr>
          <w:spacing w:val="-4"/>
        </w:rPr>
        <w:t> </w:t>
      </w:r>
      <w:r>
        <w:rPr/>
        <w:t>expansion</w:t>
      </w:r>
      <w:r>
        <w:rPr>
          <w:spacing w:val="-4"/>
        </w:rPr>
        <w:t> </w:t>
      </w:r>
      <w:r>
        <w:rPr/>
        <w:t>would</w:t>
      </w:r>
      <w:r>
        <w:rPr>
          <w:spacing w:val="-4"/>
        </w:rPr>
        <w:t> </w:t>
      </w:r>
      <w:r>
        <w:rPr/>
        <w:t>be</w:t>
      </w:r>
      <w:r>
        <w:rPr>
          <w:spacing w:val="-1"/>
        </w:rPr>
        <w:t> </w:t>
      </w:r>
      <w:r>
        <w:rPr/>
        <w:t>the</w:t>
      </w:r>
      <w:r>
        <w:rPr>
          <w:spacing w:val="-4"/>
        </w:rPr>
        <w:t> </w:t>
      </w:r>
      <w:r>
        <w:rPr/>
        <w:t>same</w:t>
      </w:r>
      <w:r>
        <w:rPr>
          <w:spacing w:val="-4"/>
        </w:rPr>
        <w:t> </w:t>
      </w:r>
      <w:r>
        <w:rPr/>
        <w:t>as</w:t>
      </w:r>
      <w:r>
        <w:rPr>
          <w:spacing w:val="-1"/>
        </w:rPr>
        <w:t> </w:t>
      </w:r>
      <w:r>
        <w:rPr/>
        <w:t>the</w:t>
      </w:r>
      <w:r>
        <w:rPr>
          <w:spacing w:val="-4"/>
        </w:rPr>
        <w:t> </w:t>
      </w:r>
      <w:r>
        <w:rPr/>
        <w:t>percentage</w:t>
      </w:r>
      <w:r>
        <w:rPr>
          <w:spacing w:val="-4"/>
        </w:rPr>
        <w:t> </w:t>
      </w:r>
      <w:r>
        <w:rPr/>
        <w:t>that</w:t>
      </w:r>
      <w:r>
        <w:rPr>
          <w:spacing w:val="-4"/>
        </w:rPr>
        <w:t> </w:t>
      </w:r>
      <w:r>
        <w:rPr/>
        <w:t>applies</w:t>
      </w:r>
      <w:r>
        <w:rPr>
          <w:spacing w:val="-4"/>
        </w:rPr>
        <w:t> </w:t>
      </w:r>
      <w:r>
        <w:rPr/>
        <w:t>to</w:t>
      </w:r>
      <w:r>
        <w:rPr>
          <w:spacing w:val="-4"/>
        </w:rPr>
        <w:t> </w:t>
      </w:r>
      <w:r>
        <w:rPr/>
        <w:t>all other enrollees in a particular state. The state formulas vary, and the federal government’s share of Medicaid’s cost varies as well, from 50 percent to</w:t>
      </w:r>
    </w:p>
    <w:p>
      <w:pPr>
        <w:pStyle w:val="BodyText"/>
        <w:spacing w:line="298" w:lineRule="exact"/>
      </w:pPr>
      <w:r>
        <w:rPr/>
        <w:t>77</w:t>
      </w:r>
      <w:r>
        <w:rPr>
          <w:spacing w:val="-6"/>
        </w:rPr>
        <w:t> </w:t>
      </w:r>
      <w:r>
        <w:rPr/>
        <w:t>percent</w:t>
      </w:r>
      <w:r>
        <w:rPr>
          <w:spacing w:val="-6"/>
        </w:rPr>
        <w:t> </w:t>
      </w:r>
      <w:r>
        <w:rPr/>
        <w:t>in</w:t>
      </w:r>
      <w:r>
        <w:rPr>
          <w:spacing w:val="-5"/>
        </w:rPr>
        <w:t> </w:t>
      </w:r>
      <w:r>
        <w:rPr/>
        <w:t>2025.</w:t>
      </w:r>
      <w:r>
        <w:rPr>
          <w:spacing w:val="-3"/>
        </w:rPr>
        <w:t> </w:t>
      </w:r>
      <w:r>
        <w:rPr/>
        <w:t>The</w:t>
      </w:r>
      <w:r>
        <w:rPr>
          <w:spacing w:val="-6"/>
        </w:rPr>
        <w:t> </w:t>
      </w:r>
      <w:r>
        <w:rPr/>
        <w:t>FMAP</w:t>
      </w:r>
      <w:r>
        <w:rPr>
          <w:spacing w:val="-6"/>
        </w:rPr>
        <w:t> </w:t>
      </w:r>
      <w:r>
        <w:rPr/>
        <w:t>change</w:t>
      </w:r>
      <w:r>
        <w:rPr>
          <w:spacing w:val="-5"/>
        </w:rPr>
        <w:t> </w:t>
      </w:r>
      <w:r>
        <w:rPr/>
        <w:t>would</w:t>
      </w:r>
      <w:r>
        <w:rPr>
          <w:spacing w:val="-3"/>
        </w:rPr>
        <w:t> </w:t>
      </w:r>
      <w:r>
        <w:rPr/>
        <w:t>take</w:t>
      </w:r>
      <w:r>
        <w:rPr>
          <w:spacing w:val="-6"/>
        </w:rPr>
        <w:t> </w:t>
      </w:r>
      <w:r>
        <w:rPr/>
        <w:t>effect</w:t>
      </w:r>
      <w:r>
        <w:rPr>
          <w:spacing w:val="-5"/>
        </w:rPr>
        <w:t> </w:t>
      </w:r>
      <w:r>
        <w:rPr/>
        <w:t>in</w:t>
      </w:r>
      <w:r>
        <w:rPr>
          <w:spacing w:val="-3"/>
        </w:rPr>
        <w:t> </w:t>
      </w:r>
      <w:r>
        <w:rPr/>
        <w:t>October</w:t>
      </w:r>
      <w:r>
        <w:rPr>
          <w:spacing w:val="-3"/>
        </w:rPr>
        <w:t> </w:t>
      </w:r>
      <w:r>
        <w:rPr>
          <w:spacing w:val="-2"/>
        </w:rPr>
        <w:t>2026.</w:t>
      </w:r>
    </w:p>
    <w:p>
      <w:pPr>
        <w:pStyle w:val="BodyText"/>
        <w:spacing w:before="260"/>
        <w:ind w:right="378"/>
      </w:pPr>
      <w:r>
        <w:rPr>
          <w:b/>
        </w:rPr>
        <w:t>Option</w:t>
      </w:r>
      <w:r>
        <w:rPr>
          <w:b/>
          <w:spacing w:val="-6"/>
        </w:rPr>
        <w:t> </w:t>
      </w:r>
      <w:r>
        <w:rPr>
          <w:b/>
        </w:rPr>
        <w:t>2,</w:t>
      </w:r>
      <w:r>
        <w:rPr>
          <w:b/>
          <w:spacing w:val="-3"/>
        </w:rPr>
        <w:t> </w:t>
      </w:r>
      <w:r>
        <w:rPr>
          <w:b/>
        </w:rPr>
        <w:t>Limit</w:t>
      </w:r>
      <w:r>
        <w:rPr>
          <w:b/>
          <w:spacing w:val="-6"/>
        </w:rPr>
        <w:t> </w:t>
      </w:r>
      <w:r>
        <w:rPr>
          <w:b/>
        </w:rPr>
        <w:t>State</w:t>
      </w:r>
      <w:r>
        <w:rPr>
          <w:b/>
          <w:spacing w:val="-3"/>
        </w:rPr>
        <w:t> </w:t>
      </w:r>
      <w:r>
        <w:rPr>
          <w:b/>
        </w:rPr>
        <w:t>Taxes</w:t>
      </w:r>
      <w:r>
        <w:rPr>
          <w:b/>
          <w:spacing w:val="-6"/>
        </w:rPr>
        <w:t> </w:t>
      </w:r>
      <w:r>
        <w:rPr>
          <w:b/>
        </w:rPr>
        <w:t>on</w:t>
      </w:r>
      <w:r>
        <w:rPr>
          <w:b/>
          <w:spacing w:val="-3"/>
        </w:rPr>
        <w:t> </w:t>
      </w:r>
      <w:r>
        <w:rPr>
          <w:b/>
        </w:rPr>
        <w:t>Health</w:t>
      </w:r>
      <w:r>
        <w:rPr>
          <w:b/>
          <w:spacing w:val="-3"/>
        </w:rPr>
        <w:t> </w:t>
      </w:r>
      <w:r>
        <w:rPr>
          <w:b/>
        </w:rPr>
        <w:t>Care</w:t>
      </w:r>
      <w:r>
        <w:rPr>
          <w:b/>
          <w:spacing w:val="-3"/>
        </w:rPr>
        <w:t> </w:t>
      </w:r>
      <w:r>
        <w:rPr>
          <w:b/>
        </w:rPr>
        <w:t>Providers.</w:t>
      </w:r>
      <w:r>
        <w:rPr>
          <w:b/>
          <w:spacing w:val="-3"/>
        </w:rPr>
        <w:t> </w:t>
      </w:r>
      <w:r>
        <w:rPr/>
        <w:t>Virtually</w:t>
      </w:r>
      <w:r>
        <w:rPr>
          <w:spacing w:val="-6"/>
        </w:rPr>
        <w:t> </w:t>
      </w:r>
      <w:r>
        <w:rPr/>
        <w:t>all</w:t>
      </w:r>
      <w:r>
        <w:rPr>
          <w:spacing w:val="-6"/>
        </w:rPr>
        <w:t> </w:t>
      </w:r>
      <w:r>
        <w:rPr/>
        <w:t>states finance a portion of their Medicaid spending through taxes collected from health care providers.</w:t>
      </w:r>
      <w:hyperlink w:history="true" w:anchor="_bookmark1">
        <w:r>
          <w:rPr>
            <w:vertAlign w:val="superscript"/>
          </w:rPr>
          <w:t>2</w:t>
        </w:r>
      </w:hyperlink>
      <w:r>
        <w:rPr>
          <w:vertAlign w:val="baseline"/>
        </w:rPr>
        <w:t> Those amounts are returned to the providers in the form of higher Medicaid payments, thereby leaving providers at least no worse</w:t>
      </w:r>
      <w:r>
        <w:rPr>
          <w:spacing w:val="-4"/>
          <w:vertAlign w:val="baseline"/>
        </w:rPr>
        <w:t> </w:t>
      </w:r>
      <w:r>
        <w:rPr>
          <w:vertAlign w:val="baseline"/>
        </w:rPr>
        <w:t>off</w:t>
      </w:r>
      <w:r>
        <w:rPr>
          <w:spacing w:val="-4"/>
          <w:vertAlign w:val="baseline"/>
        </w:rPr>
        <w:t> </w:t>
      </w:r>
      <w:r>
        <w:rPr>
          <w:vertAlign w:val="baseline"/>
        </w:rPr>
        <w:t>(that</w:t>
      </w:r>
      <w:r>
        <w:rPr>
          <w:spacing w:val="-4"/>
          <w:vertAlign w:val="baseline"/>
        </w:rPr>
        <w:t> </w:t>
      </w:r>
      <w:r>
        <w:rPr>
          <w:vertAlign w:val="baseline"/>
        </w:rPr>
        <w:t>is,</w:t>
      </w:r>
      <w:r>
        <w:rPr>
          <w:spacing w:val="-4"/>
          <w:vertAlign w:val="baseline"/>
        </w:rPr>
        <w:t> </w:t>
      </w:r>
      <w:r>
        <w:rPr>
          <w:vertAlign w:val="baseline"/>
        </w:rPr>
        <w:t>held</w:t>
      </w:r>
      <w:r>
        <w:rPr>
          <w:spacing w:val="-1"/>
          <w:vertAlign w:val="baseline"/>
        </w:rPr>
        <w:t> </w:t>
      </w:r>
      <w:r>
        <w:rPr>
          <w:vertAlign w:val="baseline"/>
        </w:rPr>
        <w:t>harmless).</w:t>
      </w:r>
      <w:r>
        <w:rPr>
          <w:spacing w:val="-1"/>
          <w:vertAlign w:val="baseline"/>
        </w:rPr>
        <w:t> </w:t>
      </w:r>
      <w:r>
        <w:rPr>
          <w:vertAlign w:val="baseline"/>
        </w:rPr>
        <w:t>Federal</w:t>
      </w:r>
      <w:r>
        <w:rPr>
          <w:spacing w:val="-4"/>
          <w:vertAlign w:val="baseline"/>
        </w:rPr>
        <w:t> </w:t>
      </w:r>
      <w:r>
        <w:rPr>
          <w:vertAlign w:val="baseline"/>
        </w:rPr>
        <w:t>law</w:t>
      </w:r>
      <w:r>
        <w:rPr>
          <w:spacing w:val="-1"/>
          <w:vertAlign w:val="baseline"/>
        </w:rPr>
        <w:t> </w:t>
      </w:r>
      <w:r>
        <w:rPr>
          <w:vertAlign w:val="baseline"/>
        </w:rPr>
        <w:t>effectively</w:t>
      </w:r>
      <w:r>
        <w:rPr>
          <w:spacing w:val="-4"/>
          <w:vertAlign w:val="baseline"/>
        </w:rPr>
        <w:t> </w:t>
      </w:r>
      <w:r>
        <w:rPr>
          <w:vertAlign w:val="baseline"/>
        </w:rPr>
        <w:t>allows</w:t>
      </w:r>
      <w:r>
        <w:rPr>
          <w:spacing w:val="-4"/>
          <w:vertAlign w:val="baseline"/>
        </w:rPr>
        <w:t> </w:t>
      </w:r>
      <w:r>
        <w:rPr>
          <w:vertAlign w:val="baseline"/>
        </w:rPr>
        <w:t>states</w:t>
      </w:r>
      <w:r>
        <w:rPr>
          <w:spacing w:val="-4"/>
          <w:vertAlign w:val="baseline"/>
        </w:rPr>
        <w:t> </w:t>
      </w:r>
      <w:r>
        <w:rPr>
          <w:vertAlign w:val="baseline"/>
        </w:rPr>
        <w:t>to</w:t>
      </w:r>
      <w:r>
        <w:rPr>
          <w:spacing w:val="-4"/>
          <w:vertAlign w:val="baseline"/>
        </w:rPr>
        <w:t> </w:t>
      </w:r>
      <w:r>
        <w:rPr>
          <w:vertAlign w:val="baseline"/>
        </w:rPr>
        <w:t>use hold-harmless arrangements when the taxes they collect do not exceed</w:t>
      </w:r>
    </w:p>
    <w:p>
      <w:pPr>
        <w:pStyle w:val="BodyText"/>
        <w:ind w:left="980"/>
      </w:pPr>
      <w:r>
        <w:rPr/>
        <w:t>6 percent of a provider’s net revenues from treating patients. The higher Medicaid</w:t>
      </w:r>
      <w:r>
        <w:rPr>
          <w:spacing w:val="-6"/>
        </w:rPr>
        <w:t> </w:t>
      </w:r>
      <w:r>
        <w:rPr/>
        <w:t>payments</w:t>
      </w:r>
      <w:r>
        <w:rPr>
          <w:spacing w:val="-3"/>
        </w:rPr>
        <w:t> </w:t>
      </w:r>
      <w:r>
        <w:rPr/>
        <w:t>increase</w:t>
      </w:r>
      <w:r>
        <w:rPr>
          <w:spacing w:val="-6"/>
        </w:rPr>
        <w:t> </w:t>
      </w:r>
      <w:r>
        <w:rPr/>
        <w:t>the</w:t>
      </w:r>
      <w:r>
        <w:rPr>
          <w:spacing w:val="-6"/>
        </w:rPr>
        <w:t> </w:t>
      </w:r>
      <w:r>
        <w:rPr/>
        <w:t>contributions</w:t>
      </w:r>
      <w:r>
        <w:rPr>
          <w:spacing w:val="-3"/>
        </w:rPr>
        <w:t> </w:t>
      </w:r>
      <w:r>
        <w:rPr/>
        <w:t>from</w:t>
      </w:r>
      <w:r>
        <w:rPr>
          <w:spacing w:val="-6"/>
        </w:rPr>
        <w:t> </w:t>
      </w:r>
      <w:r>
        <w:rPr/>
        <w:t>the</w:t>
      </w:r>
      <w:r>
        <w:rPr>
          <w:spacing w:val="-6"/>
        </w:rPr>
        <w:t> </w:t>
      </w:r>
      <w:r>
        <w:rPr/>
        <w:t>federal</w:t>
      </w:r>
      <w:r>
        <w:rPr>
          <w:spacing w:val="-6"/>
        </w:rPr>
        <w:t> </w:t>
      </w:r>
      <w:r>
        <w:rPr/>
        <w:t>government</w:t>
      </w:r>
      <w:r>
        <w:rPr>
          <w:spacing w:val="-6"/>
        </w:rPr>
        <w:t> </w:t>
      </w:r>
      <w:r>
        <w:rPr/>
        <w:t>to states’ Medicaid programs.</w:t>
      </w:r>
    </w:p>
    <w:p>
      <w:pPr>
        <w:pStyle w:val="BodyText"/>
        <w:spacing w:before="260"/>
        <w:ind w:left="980" w:right="268"/>
      </w:pPr>
      <w:r>
        <w:rPr/>
        <w:t>This</w:t>
      </w:r>
      <w:r>
        <w:rPr>
          <w:spacing w:val="-5"/>
        </w:rPr>
        <w:t> </w:t>
      </w:r>
      <w:r>
        <w:rPr/>
        <w:t>policy</w:t>
      </w:r>
      <w:r>
        <w:rPr>
          <w:spacing w:val="-5"/>
        </w:rPr>
        <w:t> </w:t>
      </w:r>
      <w:r>
        <w:rPr/>
        <w:t>option</w:t>
      </w:r>
      <w:r>
        <w:rPr>
          <w:spacing w:val="-2"/>
        </w:rPr>
        <w:t> </w:t>
      </w:r>
      <w:r>
        <w:rPr/>
        <w:t>would</w:t>
      </w:r>
      <w:r>
        <w:rPr>
          <w:spacing w:val="-5"/>
        </w:rPr>
        <w:t> </w:t>
      </w:r>
      <w:r>
        <w:rPr/>
        <w:t>eliminate</w:t>
      </w:r>
      <w:r>
        <w:rPr>
          <w:spacing w:val="-2"/>
        </w:rPr>
        <w:t> </w:t>
      </w:r>
      <w:r>
        <w:rPr/>
        <w:t>the</w:t>
      </w:r>
      <w:r>
        <w:rPr>
          <w:spacing w:val="-5"/>
        </w:rPr>
        <w:t> </w:t>
      </w:r>
      <w:r>
        <w:rPr/>
        <w:t>6</w:t>
      </w:r>
      <w:r>
        <w:rPr>
          <w:spacing w:val="-5"/>
        </w:rPr>
        <w:t> </w:t>
      </w:r>
      <w:r>
        <w:rPr/>
        <w:t>percent</w:t>
      </w:r>
      <w:r>
        <w:rPr>
          <w:spacing w:val="-5"/>
        </w:rPr>
        <w:t> </w:t>
      </w:r>
      <w:r>
        <w:rPr/>
        <w:t>threshold,</w:t>
      </w:r>
      <w:r>
        <w:rPr>
          <w:spacing w:val="-5"/>
        </w:rPr>
        <w:t> </w:t>
      </w:r>
      <w:r>
        <w:rPr/>
        <w:t>and</w:t>
      </w:r>
      <w:r>
        <w:rPr>
          <w:spacing w:val="-5"/>
        </w:rPr>
        <w:t> </w:t>
      </w:r>
      <w:r>
        <w:rPr/>
        <w:t>states</w:t>
      </w:r>
      <w:r>
        <w:rPr>
          <w:spacing w:val="-2"/>
        </w:rPr>
        <w:t> </w:t>
      </w:r>
      <w:r>
        <w:rPr/>
        <w:t>would no longer be effectively allowed to collect revenues under hold-harmless </w:t>
      </w:r>
      <w:r>
        <w:rPr>
          <w:spacing w:val="-2"/>
        </w:rPr>
        <w:t>arrangements.</w:t>
      </w:r>
    </w:p>
    <w:p>
      <w:pPr>
        <w:spacing w:before="262"/>
        <w:ind w:left="980" w:right="0" w:firstLine="0"/>
        <w:jc w:val="left"/>
        <w:rPr>
          <w:sz w:val="26"/>
        </w:rPr>
      </w:pPr>
      <w:r>
        <w:rPr>
          <w:b/>
          <w:sz w:val="26"/>
        </w:rPr>
        <w:t>Option</w:t>
      </w:r>
      <w:r>
        <w:rPr>
          <w:b/>
          <w:spacing w:val="-5"/>
          <w:sz w:val="26"/>
        </w:rPr>
        <w:t> </w:t>
      </w:r>
      <w:r>
        <w:rPr>
          <w:b/>
          <w:sz w:val="26"/>
        </w:rPr>
        <w:t>3,</w:t>
      </w:r>
      <w:r>
        <w:rPr>
          <w:b/>
          <w:spacing w:val="-3"/>
          <w:sz w:val="26"/>
        </w:rPr>
        <w:t> </w:t>
      </w:r>
      <w:r>
        <w:rPr>
          <w:b/>
          <w:sz w:val="26"/>
        </w:rPr>
        <w:t>Establish</w:t>
      </w:r>
      <w:r>
        <w:rPr>
          <w:b/>
          <w:spacing w:val="-5"/>
          <w:sz w:val="26"/>
        </w:rPr>
        <w:t> </w:t>
      </w:r>
      <w:r>
        <w:rPr>
          <w:b/>
          <w:sz w:val="26"/>
        </w:rPr>
        <w:t>Caps</w:t>
      </w:r>
      <w:r>
        <w:rPr>
          <w:b/>
          <w:spacing w:val="-5"/>
          <w:sz w:val="26"/>
        </w:rPr>
        <w:t> </w:t>
      </w:r>
      <w:r>
        <w:rPr>
          <w:b/>
          <w:sz w:val="26"/>
        </w:rPr>
        <w:t>on</w:t>
      </w:r>
      <w:r>
        <w:rPr>
          <w:b/>
          <w:spacing w:val="-5"/>
          <w:sz w:val="26"/>
        </w:rPr>
        <w:t> </w:t>
      </w:r>
      <w:r>
        <w:rPr>
          <w:b/>
          <w:sz w:val="26"/>
        </w:rPr>
        <w:t>Federal</w:t>
      </w:r>
      <w:r>
        <w:rPr>
          <w:b/>
          <w:spacing w:val="-5"/>
          <w:sz w:val="26"/>
        </w:rPr>
        <w:t> </w:t>
      </w:r>
      <w:r>
        <w:rPr>
          <w:b/>
          <w:sz w:val="26"/>
        </w:rPr>
        <w:t>Spending</w:t>
      </w:r>
      <w:r>
        <w:rPr>
          <w:b/>
          <w:spacing w:val="-5"/>
          <w:sz w:val="26"/>
        </w:rPr>
        <w:t> </w:t>
      </w:r>
      <w:r>
        <w:rPr>
          <w:b/>
          <w:sz w:val="26"/>
        </w:rPr>
        <w:t>for</w:t>
      </w:r>
      <w:r>
        <w:rPr>
          <w:b/>
          <w:spacing w:val="-5"/>
          <w:sz w:val="26"/>
        </w:rPr>
        <w:t> </w:t>
      </w:r>
      <w:r>
        <w:rPr>
          <w:b/>
          <w:sz w:val="26"/>
        </w:rPr>
        <w:t>the</w:t>
      </w:r>
      <w:r>
        <w:rPr>
          <w:b/>
          <w:spacing w:val="-3"/>
          <w:sz w:val="26"/>
        </w:rPr>
        <w:t> </w:t>
      </w:r>
      <w:r>
        <w:rPr>
          <w:b/>
          <w:sz w:val="26"/>
        </w:rPr>
        <w:t>Entire</w:t>
      </w:r>
      <w:r>
        <w:rPr>
          <w:b/>
          <w:spacing w:val="-3"/>
          <w:sz w:val="26"/>
        </w:rPr>
        <w:t> </w:t>
      </w:r>
      <w:r>
        <w:rPr>
          <w:b/>
          <w:sz w:val="26"/>
        </w:rPr>
        <w:t>Medicaid Population. </w:t>
      </w:r>
      <w:r>
        <w:rPr>
          <w:sz w:val="26"/>
        </w:rPr>
        <w:t>Under current law, almost all federal Medicaid funding is</w:t>
      </w:r>
    </w:p>
    <w:p>
      <w:pPr>
        <w:pStyle w:val="BodyText"/>
        <w:spacing w:before="13"/>
        <w:ind w:left="0"/>
        <w:rPr>
          <w:sz w:val="20"/>
        </w:rPr>
      </w:pPr>
      <w:r>
        <w:rPr/>
        <mc:AlternateContent>
          <mc:Choice Requires="wps">
            <w:drawing>
              <wp:anchor distT="0" distB="0" distL="0" distR="0" allowOverlap="1" layoutInCell="1" locked="0" behindDoc="1" simplePos="0" relativeHeight="487588352">
                <wp:simplePos x="0" y="0"/>
                <wp:positionH relativeFrom="page">
                  <wp:posOffset>1371600</wp:posOffset>
                </wp:positionH>
                <wp:positionV relativeFrom="paragraph">
                  <wp:posOffset>169910</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3.378812pt;width:144pt;height:.6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ListParagraph"/>
        <w:numPr>
          <w:ilvl w:val="0"/>
          <w:numId w:val="2"/>
        </w:numPr>
        <w:tabs>
          <w:tab w:pos="1251" w:val="left" w:leader="none"/>
          <w:tab w:pos="1253" w:val="left" w:leader="none"/>
        </w:tabs>
        <w:spacing w:line="240" w:lineRule="auto" w:before="147" w:after="0"/>
        <w:ind w:left="1253" w:right="399" w:hanging="274"/>
        <w:jc w:val="left"/>
        <w:rPr>
          <w:sz w:val="20"/>
        </w:rPr>
      </w:pPr>
      <w:bookmarkStart w:name="_bookmark0" w:id="2"/>
      <w:bookmarkEnd w:id="2"/>
      <w:r>
        <w:rPr/>
      </w:r>
      <w:r>
        <w:rPr>
          <w:sz w:val="20"/>
        </w:rPr>
        <w:t>Congressional</w:t>
      </w:r>
      <w:r>
        <w:rPr>
          <w:spacing w:val="-2"/>
          <w:sz w:val="20"/>
        </w:rPr>
        <w:t> </w:t>
      </w:r>
      <w:r>
        <w:rPr>
          <w:sz w:val="20"/>
        </w:rPr>
        <w:t>Budget</w:t>
      </w:r>
      <w:r>
        <w:rPr>
          <w:spacing w:val="-2"/>
          <w:sz w:val="20"/>
        </w:rPr>
        <w:t> </w:t>
      </w:r>
      <w:r>
        <w:rPr>
          <w:sz w:val="20"/>
        </w:rPr>
        <w:t>Office,</w:t>
      </w:r>
      <w:r>
        <w:rPr>
          <w:spacing w:val="-4"/>
          <w:sz w:val="20"/>
        </w:rPr>
        <w:t> </w:t>
      </w:r>
      <w:r>
        <w:rPr>
          <w:i/>
          <w:sz w:val="20"/>
        </w:rPr>
        <w:t>Options</w:t>
      </w:r>
      <w:r>
        <w:rPr>
          <w:i/>
          <w:spacing w:val="-3"/>
          <w:sz w:val="20"/>
        </w:rPr>
        <w:t> </w:t>
      </w:r>
      <w:r>
        <w:rPr>
          <w:i/>
          <w:sz w:val="20"/>
        </w:rPr>
        <w:t>for</w:t>
      </w:r>
      <w:r>
        <w:rPr>
          <w:i/>
          <w:spacing w:val="-3"/>
          <w:sz w:val="20"/>
        </w:rPr>
        <w:t> </w:t>
      </w:r>
      <w:r>
        <w:rPr>
          <w:i/>
          <w:sz w:val="20"/>
        </w:rPr>
        <w:t>Reducing</w:t>
      </w:r>
      <w:r>
        <w:rPr>
          <w:i/>
          <w:spacing w:val="-3"/>
          <w:sz w:val="20"/>
        </w:rPr>
        <w:t> </w:t>
      </w:r>
      <w:r>
        <w:rPr>
          <w:i/>
          <w:sz w:val="20"/>
        </w:rPr>
        <w:t>the</w:t>
      </w:r>
      <w:r>
        <w:rPr>
          <w:i/>
          <w:spacing w:val="-2"/>
          <w:sz w:val="20"/>
        </w:rPr>
        <w:t> </w:t>
      </w:r>
      <w:r>
        <w:rPr>
          <w:i/>
          <w:sz w:val="20"/>
        </w:rPr>
        <w:t>Deficit:</w:t>
      </w:r>
      <w:r>
        <w:rPr>
          <w:i/>
          <w:spacing w:val="-2"/>
          <w:sz w:val="20"/>
        </w:rPr>
        <w:t> </w:t>
      </w:r>
      <w:r>
        <w:rPr>
          <w:i/>
          <w:sz w:val="20"/>
        </w:rPr>
        <w:t>2025</w:t>
      </w:r>
      <w:r>
        <w:rPr>
          <w:i/>
          <w:spacing w:val="-3"/>
          <w:sz w:val="20"/>
        </w:rPr>
        <w:t> </w:t>
      </w:r>
      <w:r>
        <w:rPr>
          <w:i/>
          <w:sz w:val="20"/>
        </w:rPr>
        <w:t>to</w:t>
      </w:r>
      <w:r>
        <w:rPr>
          <w:i/>
          <w:spacing w:val="-2"/>
          <w:sz w:val="20"/>
        </w:rPr>
        <w:t> </w:t>
      </w:r>
      <w:r>
        <w:rPr>
          <w:i/>
          <w:sz w:val="20"/>
        </w:rPr>
        <w:t>2034</w:t>
      </w:r>
      <w:r>
        <w:rPr>
          <w:i/>
          <w:spacing w:val="-3"/>
          <w:sz w:val="20"/>
        </w:rPr>
        <w:t> </w:t>
      </w:r>
      <w:r>
        <w:rPr>
          <w:sz w:val="20"/>
        </w:rPr>
        <w:t>(December</w:t>
      </w:r>
      <w:r>
        <w:rPr>
          <w:spacing w:val="-4"/>
          <w:sz w:val="20"/>
        </w:rPr>
        <w:t> </w:t>
      </w:r>
      <w:r>
        <w:rPr>
          <w:sz w:val="20"/>
        </w:rPr>
        <w:t>2024), </w:t>
      </w:r>
      <w:hyperlink r:id="rId8">
        <w:r>
          <w:rPr>
            <w:color w:val="0562C1"/>
            <w:spacing w:val="-2"/>
            <w:sz w:val="20"/>
          </w:rPr>
          <w:t>www.cbo.gov/publication/60557</w:t>
        </w:r>
        <w:r>
          <w:rPr>
            <w:spacing w:val="-2"/>
            <w:sz w:val="20"/>
          </w:rPr>
          <w:t>.</w:t>
        </w:r>
      </w:hyperlink>
    </w:p>
    <w:p>
      <w:pPr>
        <w:pStyle w:val="ListParagraph"/>
        <w:numPr>
          <w:ilvl w:val="0"/>
          <w:numId w:val="2"/>
        </w:numPr>
        <w:tabs>
          <w:tab w:pos="1251" w:val="left" w:leader="none"/>
          <w:tab w:pos="1253" w:val="left" w:leader="none"/>
        </w:tabs>
        <w:spacing w:line="240" w:lineRule="auto" w:before="118" w:after="0"/>
        <w:ind w:left="1253" w:right="287" w:hanging="274"/>
        <w:jc w:val="left"/>
        <w:rPr>
          <w:sz w:val="20"/>
        </w:rPr>
      </w:pPr>
      <w:bookmarkStart w:name="_bookmark1" w:id="3"/>
      <w:bookmarkEnd w:id="3"/>
      <w:r>
        <w:rPr/>
      </w:r>
      <w:r>
        <w:rPr>
          <w:sz w:val="20"/>
        </w:rPr>
        <w:t>Medicaid</w:t>
      </w:r>
      <w:r>
        <w:rPr>
          <w:spacing w:val="-3"/>
          <w:sz w:val="20"/>
        </w:rPr>
        <w:t> </w:t>
      </w:r>
      <w:r>
        <w:rPr>
          <w:sz w:val="20"/>
        </w:rPr>
        <w:t>and</w:t>
      </w:r>
      <w:r>
        <w:rPr>
          <w:spacing w:val="-3"/>
          <w:sz w:val="20"/>
        </w:rPr>
        <w:t> </w:t>
      </w:r>
      <w:r>
        <w:rPr>
          <w:sz w:val="20"/>
        </w:rPr>
        <w:t>CHIP</w:t>
      </w:r>
      <w:r>
        <w:rPr>
          <w:spacing w:val="-4"/>
          <w:sz w:val="20"/>
        </w:rPr>
        <w:t> </w:t>
      </w:r>
      <w:r>
        <w:rPr>
          <w:sz w:val="20"/>
        </w:rPr>
        <w:t>Payment</w:t>
      </w:r>
      <w:r>
        <w:rPr>
          <w:spacing w:val="-6"/>
          <w:sz w:val="20"/>
        </w:rPr>
        <w:t> </w:t>
      </w:r>
      <w:r>
        <w:rPr>
          <w:sz w:val="20"/>
        </w:rPr>
        <w:t>and</w:t>
      </w:r>
      <w:r>
        <w:rPr>
          <w:spacing w:val="-3"/>
          <w:sz w:val="20"/>
        </w:rPr>
        <w:t> </w:t>
      </w:r>
      <w:r>
        <w:rPr>
          <w:sz w:val="20"/>
        </w:rPr>
        <w:t>Access</w:t>
      </w:r>
      <w:r>
        <w:rPr>
          <w:spacing w:val="-5"/>
          <w:sz w:val="20"/>
        </w:rPr>
        <w:t> </w:t>
      </w:r>
      <w:r>
        <w:rPr>
          <w:sz w:val="20"/>
        </w:rPr>
        <w:t>Commission.</w:t>
      </w:r>
      <w:r>
        <w:rPr>
          <w:spacing w:val="-3"/>
          <w:sz w:val="20"/>
        </w:rPr>
        <w:t> </w:t>
      </w:r>
      <w:r>
        <w:rPr>
          <w:i/>
          <w:sz w:val="20"/>
        </w:rPr>
        <w:t>Issue</w:t>
      </w:r>
      <w:r>
        <w:rPr>
          <w:i/>
          <w:spacing w:val="-4"/>
          <w:sz w:val="20"/>
        </w:rPr>
        <w:t> </w:t>
      </w:r>
      <w:r>
        <w:rPr>
          <w:i/>
          <w:sz w:val="20"/>
        </w:rPr>
        <w:t>Brief:</w:t>
      </w:r>
      <w:r>
        <w:rPr>
          <w:i/>
          <w:spacing w:val="-3"/>
          <w:sz w:val="20"/>
        </w:rPr>
        <w:t> </w:t>
      </w:r>
      <w:r>
        <w:rPr>
          <w:i/>
          <w:sz w:val="20"/>
        </w:rPr>
        <w:t>Health</w:t>
      </w:r>
      <w:r>
        <w:rPr>
          <w:i/>
          <w:spacing w:val="-3"/>
          <w:sz w:val="20"/>
        </w:rPr>
        <w:t> </w:t>
      </w:r>
      <w:r>
        <w:rPr>
          <w:i/>
          <w:sz w:val="20"/>
        </w:rPr>
        <w:t>Care-Related</w:t>
      </w:r>
      <w:r>
        <w:rPr>
          <w:i/>
          <w:spacing w:val="-3"/>
          <w:sz w:val="20"/>
        </w:rPr>
        <w:t> </w:t>
      </w:r>
      <w:r>
        <w:rPr>
          <w:i/>
          <w:sz w:val="20"/>
        </w:rPr>
        <w:t>Taxes</w:t>
      </w:r>
      <w:r>
        <w:rPr>
          <w:i/>
          <w:spacing w:val="-5"/>
          <w:sz w:val="20"/>
        </w:rPr>
        <w:t> </w:t>
      </w:r>
      <w:r>
        <w:rPr>
          <w:i/>
          <w:sz w:val="20"/>
        </w:rPr>
        <w:t>in</w:t>
      </w:r>
      <w:r>
        <w:rPr>
          <w:i/>
          <w:sz w:val="20"/>
        </w:rPr>
        <w:t> Medicaid. </w:t>
      </w:r>
      <w:r>
        <w:rPr>
          <w:sz w:val="20"/>
        </w:rPr>
        <w:t>(May 2021), </w:t>
      </w:r>
      <w:hyperlink r:id="rId9">
        <w:r>
          <w:rPr>
            <w:color w:val="0562C1"/>
            <w:sz w:val="20"/>
          </w:rPr>
          <w:t>https://tinyurl.com/3acjh37m</w:t>
        </w:r>
        <w:r>
          <w:rPr>
            <w:sz w:val="20"/>
          </w:rPr>
          <w:t>.</w:t>
        </w:r>
      </w:hyperlink>
    </w:p>
    <w:p>
      <w:pPr>
        <w:spacing w:after="0" w:line="240" w:lineRule="auto"/>
        <w:jc w:val="left"/>
        <w:rPr>
          <w:sz w:val="20"/>
        </w:rPr>
        <w:sectPr>
          <w:headerReference w:type="default" r:id="rId7"/>
          <w:pgSz w:w="12240" w:h="15840"/>
          <w:pgMar w:header="731" w:footer="0" w:top="1360" w:bottom="280" w:left="1180" w:right="1680"/>
          <w:pgNumType w:start="2"/>
        </w:sectPr>
      </w:pPr>
    </w:p>
    <w:p>
      <w:pPr>
        <w:pStyle w:val="BodyText"/>
        <w:spacing w:before="287"/>
        <w:ind w:left="980" w:right="268"/>
      </w:pPr>
      <w:r>
        <w:rPr/>
        <w:t>open‑ended:</w:t>
      </w:r>
      <w:r>
        <w:rPr>
          <w:spacing w:val="-3"/>
        </w:rPr>
        <w:t> </w:t>
      </w:r>
      <w:r>
        <w:rPr/>
        <w:t>If</w:t>
      </w:r>
      <w:r>
        <w:rPr>
          <w:spacing w:val="-6"/>
        </w:rPr>
        <w:t> </w:t>
      </w:r>
      <w:r>
        <w:rPr/>
        <w:t>state</w:t>
      </w:r>
      <w:r>
        <w:rPr>
          <w:spacing w:val="-3"/>
        </w:rPr>
        <w:t> </w:t>
      </w:r>
      <w:r>
        <w:rPr/>
        <w:t>spending</w:t>
      </w:r>
      <w:r>
        <w:rPr>
          <w:spacing w:val="-6"/>
        </w:rPr>
        <w:t> </w:t>
      </w:r>
      <w:r>
        <w:rPr/>
        <w:t>increases</w:t>
      </w:r>
      <w:r>
        <w:rPr>
          <w:spacing w:val="-6"/>
        </w:rPr>
        <w:t> </w:t>
      </w:r>
      <w:r>
        <w:rPr/>
        <w:t>because</w:t>
      </w:r>
      <w:r>
        <w:rPr>
          <w:spacing w:val="-6"/>
        </w:rPr>
        <w:t> </w:t>
      </w:r>
      <w:r>
        <w:rPr/>
        <w:t>enrollments</w:t>
      </w:r>
      <w:r>
        <w:rPr>
          <w:spacing w:val="-6"/>
        </w:rPr>
        <w:t> </w:t>
      </w:r>
      <w:r>
        <w:rPr/>
        <w:t>or</w:t>
      </w:r>
      <w:r>
        <w:rPr>
          <w:spacing w:val="-6"/>
        </w:rPr>
        <w:t> </w:t>
      </w:r>
      <w:r>
        <w:rPr/>
        <w:t>costs</w:t>
      </w:r>
      <w:r>
        <w:rPr>
          <w:spacing w:val="-3"/>
        </w:rPr>
        <w:t> </w:t>
      </w:r>
      <w:r>
        <w:rPr/>
        <w:t>per enrollee rise, larger federal payments are automatically generated.</w:t>
      </w:r>
    </w:p>
    <w:p>
      <w:pPr>
        <w:pStyle w:val="BodyText"/>
        <w:spacing w:before="261"/>
        <w:ind w:left="980" w:right="215"/>
      </w:pPr>
      <w:r>
        <w:rPr/>
        <w:t>This policy option would establish a per-enrollee cap on federal spending. As a result, each state’s total federal funding would be limited to the product of the number of enrollees and the capped per-enrollee spending amount, which would vary for the different Medicaid eligibility groups in each state. For this estimate, CBO used 2024 as the base year for the per-enrollee amounts, with growth</w:t>
      </w:r>
      <w:r>
        <w:rPr>
          <w:spacing w:val="-4"/>
        </w:rPr>
        <w:t> </w:t>
      </w:r>
      <w:r>
        <w:rPr/>
        <w:t>of</w:t>
      </w:r>
      <w:r>
        <w:rPr>
          <w:spacing w:val="-4"/>
        </w:rPr>
        <w:t> </w:t>
      </w:r>
      <w:r>
        <w:rPr/>
        <w:t>the</w:t>
      </w:r>
      <w:r>
        <w:rPr>
          <w:spacing w:val="-4"/>
        </w:rPr>
        <w:t> </w:t>
      </w:r>
      <w:r>
        <w:rPr/>
        <w:t>caps</w:t>
      </w:r>
      <w:r>
        <w:rPr>
          <w:spacing w:val="-1"/>
        </w:rPr>
        <w:t> </w:t>
      </w:r>
      <w:r>
        <w:rPr/>
        <w:t>based</w:t>
      </w:r>
      <w:r>
        <w:rPr>
          <w:spacing w:val="-4"/>
        </w:rPr>
        <w:t> </w:t>
      </w:r>
      <w:r>
        <w:rPr/>
        <w:t>on</w:t>
      </w:r>
      <w:r>
        <w:rPr>
          <w:spacing w:val="-4"/>
        </w:rPr>
        <w:t> </w:t>
      </w:r>
      <w:r>
        <w:rPr/>
        <w:t>the</w:t>
      </w:r>
      <w:r>
        <w:rPr>
          <w:spacing w:val="-4"/>
        </w:rPr>
        <w:t> </w:t>
      </w:r>
      <w:r>
        <w:rPr/>
        <w:t>consumer</w:t>
      </w:r>
      <w:r>
        <w:rPr>
          <w:spacing w:val="-1"/>
        </w:rPr>
        <w:t> </w:t>
      </w:r>
      <w:r>
        <w:rPr/>
        <w:t>price</w:t>
      </w:r>
      <w:r>
        <w:rPr>
          <w:spacing w:val="-4"/>
        </w:rPr>
        <w:t> </w:t>
      </w:r>
      <w:r>
        <w:rPr/>
        <w:t>index</w:t>
      </w:r>
      <w:r>
        <w:rPr>
          <w:spacing w:val="-4"/>
        </w:rPr>
        <w:t> </w:t>
      </w:r>
      <w:r>
        <w:rPr/>
        <w:t>for</w:t>
      </w:r>
      <w:r>
        <w:rPr>
          <w:spacing w:val="-4"/>
        </w:rPr>
        <w:t> </w:t>
      </w:r>
      <w:r>
        <w:rPr/>
        <w:t>all</w:t>
      </w:r>
      <w:r>
        <w:rPr>
          <w:spacing w:val="-4"/>
        </w:rPr>
        <w:t> </w:t>
      </w:r>
      <w:r>
        <w:rPr/>
        <w:t>urban</w:t>
      </w:r>
      <w:r>
        <w:rPr>
          <w:spacing w:val="-1"/>
        </w:rPr>
        <w:t> </w:t>
      </w:r>
      <w:r>
        <w:rPr/>
        <w:t>consumers. The caps would take effect in October 2028.</w:t>
      </w:r>
    </w:p>
    <w:p>
      <w:pPr>
        <w:spacing w:before="258"/>
        <w:ind w:left="979" w:right="241" w:firstLine="0"/>
        <w:jc w:val="left"/>
        <w:rPr>
          <w:sz w:val="26"/>
        </w:rPr>
      </w:pPr>
      <w:r>
        <w:rPr>
          <w:b/>
          <w:sz w:val="26"/>
        </w:rPr>
        <w:t>Option 4, Establish Caps on Federal Spending for the Medicaid Expansion</w:t>
      </w:r>
      <w:r>
        <w:rPr>
          <w:b/>
          <w:spacing w:val="-5"/>
          <w:sz w:val="26"/>
        </w:rPr>
        <w:t> </w:t>
      </w:r>
      <w:r>
        <w:rPr>
          <w:b/>
          <w:sz w:val="26"/>
        </w:rPr>
        <w:t>Population.</w:t>
      </w:r>
      <w:r>
        <w:rPr>
          <w:b/>
          <w:spacing w:val="-5"/>
          <w:sz w:val="26"/>
        </w:rPr>
        <w:t> </w:t>
      </w:r>
      <w:r>
        <w:rPr>
          <w:sz w:val="26"/>
        </w:rPr>
        <w:t>This</w:t>
      </w:r>
      <w:r>
        <w:rPr>
          <w:spacing w:val="-5"/>
          <w:sz w:val="26"/>
        </w:rPr>
        <w:t> </w:t>
      </w:r>
      <w:r>
        <w:rPr>
          <w:sz w:val="26"/>
        </w:rPr>
        <w:t>policy</w:t>
      </w:r>
      <w:r>
        <w:rPr>
          <w:spacing w:val="-5"/>
          <w:sz w:val="26"/>
        </w:rPr>
        <w:t> </w:t>
      </w:r>
      <w:r>
        <w:rPr>
          <w:sz w:val="26"/>
        </w:rPr>
        <w:t>option</w:t>
      </w:r>
      <w:r>
        <w:rPr>
          <w:spacing w:val="-5"/>
          <w:sz w:val="26"/>
        </w:rPr>
        <w:t> </w:t>
      </w:r>
      <w:r>
        <w:rPr>
          <w:sz w:val="26"/>
        </w:rPr>
        <w:t>also</w:t>
      </w:r>
      <w:r>
        <w:rPr>
          <w:spacing w:val="-5"/>
          <w:sz w:val="26"/>
        </w:rPr>
        <w:t> </w:t>
      </w:r>
      <w:r>
        <w:rPr>
          <w:sz w:val="26"/>
        </w:rPr>
        <w:t>would</w:t>
      </w:r>
      <w:r>
        <w:rPr>
          <w:spacing w:val="-5"/>
          <w:sz w:val="26"/>
        </w:rPr>
        <w:t> </w:t>
      </w:r>
      <w:r>
        <w:rPr>
          <w:sz w:val="26"/>
        </w:rPr>
        <w:t>establish</w:t>
      </w:r>
      <w:r>
        <w:rPr>
          <w:spacing w:val="-2"/>
          <w:sz w:val="26"/>
        </w:rPr>
        <w:t> </w:t>
      </w:r>
      <w:r>
        <w:rPr>
          <w:sz w:val="26"/>
        </w:rPr>
        <w:t>a</w:t>
      </w:r>
      <w:r>
        <w:rPr>
          <w:spacing w:val="-5"/>
          <w:sz w:val="26"/>
        </w:rPr>
        <w:t> </w:t>
      </w:r>
      <w:r>
        <w:rPr>
          <w:sz w:val="26"/>
        </w:rPr>
        <w:t>per-enrollee cap on federal spending, but limited to Medicaid enrollees who gained eligibility under the ACA’s expansion.</w:t>
      </w:r>
    </w:p>
    <w:p>
      <w:pPr>
        <w:pStyle w:val="BodyText"/>
        <w:spacing w:before="261"/>
        <w:ind w:right="215"/>
      </w:pPr>
      <w:r>
        <w:rPr>
          <w:b/>
        </w:rPr>
        <w:t>Option 5, Repeal Medicaid’s Eligibility and Enrollment Rule. </w:t>
      </w:r>
      <w:r>
        <w:rPr/>
        <w:t>The Centers for Medicare &amp; Medicaid Services issued two final rules, one each in 2023</w:t>
      </w:r>
      <w:r>
        <w:rPr>
          <w:spacing w:val="40"/>
        </w:rPr>
        <w:t> </w:t>
      </w:r>
      <w:r>
        <w:rPr/>
        <w:t>and 2024, that together are referred to as the Eligibility and Enrollment final rule.</w:t>
      </w:r>
      <w:hyperlink w:history="true" w:anchor="_bookmark2">
        <w:r>
          <w:rPr>
            <w:vertAlign w:val="superscript"/>
          </w:rPr>
          <w:t>3</w:t>
        </w:r>
      </w:hyperlink>
      <w:r>
        <w:rPr>
          <w:spacing w:val="-2"/>
          <w:vertAlign w:val="baseline"/>
        </w:rPr>
        <w:t> </w:t>
      </w:r>
      <w:r>
        <w:rPr>
          <w:vertAlign w:val="baseline"/>
        </w:rPr>
        <w:t>This</w:t>
      </w:r>
      <w:r>
        <w:rPr>
          <w:spacing w:val="-4"/>
          <w:vertAlign w:val="baseline"/>
        </w:rPr>
        <w:t> </w:t>
      </w:r>
      <w:r>
        <w:rPr>
          <w:vertAlign w:val="baseline"/>
        </w:rPr>
        <w:t>policy</w:t>
      </w:r>
      <w:r>
        <w:rPr>
          <w:spacing w:val="-1"/>
          <w:vertAlign w:val="baseline"/>
        </w:rPr>
        <w:t> </w:t>
      </w:r>
      <w:r>
        <w:rPr>
          <w:vertAlign w:val="baseline"/>
        </w:rPr>
        <w:t>option</w:t>
      </w:r>
      <w:r>
        <w:rPr>
          <w:spacing w:val="-1"/>
          <w:vertAlign w:val="baseline"/>
        </w:rPr>
        <w:t> </w:t>
      </w:r>
      <w:r>
        <w:rPr>
          <w:vertAlign w:val="baseline"/>
        </w:rPr>
        <w:t>would</w:t>
      </w:r>
      <w:r>
        <w:rPr>
          <w:spacing w:val="-4"/>
          <w:vertAlign w:val="baseline"/>
        </w:rPr>
        <w:t> </w:t>
      </w:r>
      <w:r>
        <w:rPr>
          <w:vertAlign w:val="baseline"/>
        </w:rPr>
        <w:t>repeal</w:t>
      </w:r>
      <w:r>
        <w:rPr>
          <w:spacing w:val="-4"/>
          <w:vertAlign w:val="baseline"/>
        </w:rPr>
        <w:t> </w:t>
      </w:r>
      <w:r>
        <w:rPr>
          <w:vertAlign w:val="baseline"/>
        </w:rPr>
        <w:t>the</w:t>
      </w:r>
      <w:r>
        <w:rPr>
          <w:spacing w:val="-4"/>
          <w:vertAlign w:val="baseline"/>
        </w:rPr>
        <w:t> </w:t>
      </w:r>
      <w:r>
        <w:rPr>
          <w:vertAlign w:val="baseline"/>
        </w:rPr>
        <w:t>Eligibility</w:t>
      </w:r>
      <w:r>
        <w:rPr>
          <w:spacing w:val="-4"/>
          <w:vertAlign w:val="baseline"/>
        </w:rPr>
        <w:t> </w:t>
      </w:r>
      <w:r>
        <w:rPr>
          <w:vertAlign w:val="baseline"/>
        </w:rPr>
        <w:t>and</w:t>
      </w:r>
      <w:r>
        <w:rPr>
          <w:spacing w:val="-1"/>
          <w:vertAlign w:val="baseline"/>
        </w:rPr>
        <w:t> </w:t>
      </w:r>
      <w:r>
        <w:rPr>
          <w:vertAlign w:val="baseline"/>
        </w:rPr>
        <w:t>Enrollment</w:t>
      </w:r>
      <w:r>
        <w:rPr>
          <w:spacing w:val="-4"/>
          <w:vertAlign w:val="baseline"/>
        </w:rPr>
        <w:t> </w:t>
      </w:r>
      <w:r>
        <w:rPr>
          <w:vertAlign w:val="baseline"/>
        </w:rPr>
        <w:t>final</w:t>
      </w:r>
      <w:r>
        <w:rPr>
          <w:spacing w:val="-4"/>
          <w:vertAlign w:val="baseline"/>
        </w:rPr>
        <w:t> </w:t>
      </w:r>
      <w:r>
        <w:rPr>
          <w:vertAlign w:val="baseline"/>
        </w:rPr>
        <w:t>rule.</w:t>
      </w:r>
    </w:p>
    <w:p>
      <w:pPr>
        <w:pStyle w:val="BodyText"/>
        <w:spacing w:before="259"/>
        <w:ind w:left="980" w:right="565"/>
      </w:pPr>
      <w:r>
        <w:rPr/>
        <w:t>The first rule, issued in September 2023, focuses on reducing barriers to enrollment</w:t>
      </w:r>
      <w:r>
        <w:rPr>
          <w:spacing w:val="-4"/>
        </w:rPr>
        <w:t> </w:t>
      </w:r>
      <w:r>
        <w:rPr/>
        <w:t>in</w:t>
      </w:r>
      <w:r>
        <w:rPr>
          <w:spacing w:val="-7"/>
        </w:rPr>
        <w:t> </w:t>
      </w:r>
      <w:r>
        <w:rPr/>
        <w:t>Medicare</w:t>
      </w:r>
      <w:r>
        <w:rPr>
          <w:spacing w:val="-4"/>
        </w:rPr>
        <w:t> </w:t>
      </w:r>
      <w:r>
        <w:rPr/>
        <w:t>Savings</w:t>
      </w:r>
      <w:r>
        <w:rPr>
          <w:spacing w:val="-4"/>
        </w:rPr>
        <w:t> </w:t>
      </w:r>
      <w:r>
        <w:rPr/>
        <w:t>Programs</w:t>
      </w:r>
      <w:r>
        <w:rPr>
          <w:spacing w:val="-7"/>
        </w:rPr>
        <w:t> </w:t>
      </w:r>
      <w:r>
        <w:rPr/>
        <w:t>(MSPs),</w:t>
      </w:r>
      <w:r>
        <w:rPr>
          <w:spacing w:val="-7"/>
        </w:rPr>
        <w:t> </w:t>
      </w:r>
      <w:r>
        <w:rPr/>
        <w:t>which</w:t>
      </w:r>
      <w:r>
        <w:rPr>
          <w:spacing w:val="-7"/>
        </w:rPr>
        <w:t> </w:t>
      </w:r>
      <w:r>
        <w:rPr/>
        <w:t>help</w:t>
      </w:r>
      <w:r>
        <w:rPr>
          <w:spacing w:val="-7"/>
        </w:rPr>
        <w:t> </w:t>
      </w:r>
      <w:r>
        <w:rPr/>
        <w:t>low-income Medicare beneficiaries pay their premiums and, in some cases, cover their cost-sharing requirements. This rule is aimed at increasing participation among people who are eligible for, but not currently enrolled in, MSPs.</w:t>
      </w:r>
    </w:p>
    <w:p>
      <w:pPr>
        <w:pStyle w:val="BodyText"/>
        <w:ind w:left="980"/>
      </w:pPr>
      <w:r>
        <w:rPr/>
        <w:t>Among several other provisions, the rule establishes processes for states to facilitate MSP applications for people who are eligible for the low-income subsidy</w:t>
      </w:r>
      <w:r>
        <w:rPr>
          <w:spacing w:val="-4"/>
        </w:rPr>
        <w:t> </w:t>
      </w:r>
      <w:r>
        <w:rPr/>
        <w:t>under</w:t>
      </w:r>
      <w:r>
        <w:rPr>
          <w:spacing w:val="-4"/>
        </w:rPr>
        <w:t> </w:t>
      </w:r>
      <w:r>
        <w:rPr/>
        <w:t>Medicare</w:t>
      </w:r>
      <w:r>
        <w:rPr>
          <w:spacing w:val="-4"/>
        </w:rPr>
        <w:t> </w:t>
      </w:r>
      <w:r>
        <w:rPr/>
        <w:t>Part</w:t>
      </w:r>
      <w:r>
        <w:rPr>
          <w:spacing w:val="-4"/>
        </w:rPr>
        <w:t> </w:t>
      </w:r>
      <w:r>
        <w:rPr/>
        <w:t>D.</w:t>
      </w:r>
      <w:r>
        <w:rPr>
          <w:spacing w:val="-4"/>
        </w:rPr>
        <w:t> </w:t>
      </w:r>
      <w:r>
        <w:rPr/>
        <w:t>The</w:t>
      </w:r>
      <w:r>
        <w:rPr>
          <w:spacing w:val="-4"/>
        </w:rPr>
        <w:t> </w:t>
      </w:r>
      <w:r>
        <w:rPr/>
        <w:t>rule</w:t>
      </w:r>
      <w:r>
        <w:rPr>
          <w:spacing w:val="-4"/>
        </w:rPr>
        <w:t> </w:t>
      </w:r>
      <w:r>
        <w:rPr/>
        <w:t>also</w:t>
      </w:r>
      <w:r>
        <w:rPr>
          <w:spacing w:val="-1"/>
        </w:rPr>
        <w:t> </w:t>
      </w:r>
      <w:r>
        <w:rPr/>
        <w:t>requires</w:t>
      </w:r>
      <w:r>
        <w:rPr>
          <w:spacing w:val="-4"/>
        </w:rPr>
        <w:t> </w:t>
      </w:r>
      <w:r>
        <w:rPr/>
        <w:t>states</w:t>
      </w:r>
      <w:r>
        <w:rPr>
          <w:spacing w:val="-4"/>
        </w:rPr>
        <w:t> </w:t>
      </w:r>
      <w:r>
        <w:rPr/>
        <w:t>to</w:t>
      </w:r>
      <w:r>
        <w:rPr>
          <w:spacing w:val="-4"/>
        </w:rPr>
        <w:t> </w:t>
      </w:r>
      <w:r>
        <w:rPr/>
        <w:t>automatically enroll</w:t>
      </w:r>
      <w:r>
        <w:rPr>
          <w:spacing w:val="-4"/>
        </w:rPr>
        <w:t> </w:t>
      </w:r>
      <w:r>
        <w:rPr/>
        <w:t>some</w:t>
      </w:r>
      <w:r>
        <w:rPr>
          <w:spacing w:val="-2"/>
        </w:rPr>
        <w:t> </w:t>
      </w:r>
      <w:r>
        <w:rPr/>
        <w:t>people</w:t>
      </w:r>
      <w:r>
        <w:rPr>
          <w:spacing w:val="-2"/>
        </w:rPr>
        <w:t> </w:t>
      </w:r>
      <w:r>
        <w:rPr/>
        <w:t>in</w:t>
      </w:r>
      <w:r>
        <w:rPr>
          <w:spacing w:val="-4"/>
        </w:rPr>
        <w:t> </w:t>
      </w:r>
      <w:r>
        <w:rPr/>
        <w:t>the</w:t>
      </w:r>
      <w:r>
        <w:rPr>
          <w:spacing w:val="-4"/>
        </w:rPr>
        <w:t> </w:t>
      </w:r>
      <w:r>
        <w:rPr/>
        <w:t>Qualified</w:t>
      </w:r>
      <w:r>
        <w:rPr>
          <w:spacing w:val="-2"/>
        </w:rPr>
        <w:t> </w:t>
      </w:r>
      <w:r>
        <w:rPr/>
        <w:t>Medicare</w:t>
      </w:r>
      <w:r>
        <w:rPr>
          <w:spacing w:val="-2"/>
        </w:rPr>
        <w:t> </w:t>
      </w:r>
      <w:r>
        <w:rPr/>
        <w:t>Beneficiary</w:t>
      </w:r>
      <w:r>
        <w:rPr>
          <w:spacing w:val="-1"/>
        </w:rPr>
        <w:t> </w:t>
      </w:r>
      <w:r>
        <w:rPr/>
        <w:t>Program,</w:t>
      </w:r>
      <w:r>
        <w:rPr>
          <w:spacing w:val="-4"/>
        </w:rPr>
        <w:t> </w:t>
      </w:r>
      <w:r>
        <w:rPr/>
        <w:t>a</w:t>
      </w:r>
      <w:r>
        <w:rPr>
          <w:spacing w:val="-2"/>
        </w:rPr>
        <w:t> </w:t>
      </w:r>
      <w:r>
        <w:rPr/>
        <w:t>type</w:t>
      </w:r>
      <w:r>
        <w:rPr>
          <w:spacing w:val="-4"/>
        </w:rPr>
        <w:t> </w:t>
      </w:r>
      <w:r>
        <w:rPr/>
        <w:t>of MSP, eliminating the need for a separate application.</w:t>
      </w:r>
    </w:p>
    <w:p>
      <w:pPr>
        <w:pStyle w:val="BodyText"/>
        <w:spacing w:before="259"/>
        <w:ind w:left="980" w:right="268"/>
      </w:pPr>
      <w:r>
        <w:rPr/>
        <w:t>The second rule, issued in April 2024, focuses on simplifying and standardizing state processing of applications and renewals for coverage in Medicaid and the Children’s Health Insurance Program (CHIP), aiming to reduce administrative burdens and barriers to enrollment. For example, it aligns</w:t>
      </w:r>
      <w:r>
        <w:rPr>
          <w:spacing w:val="-5"/>
        </w:rPr>
        <w:t> </w:t>
      </w:r>
      <w:r>
        <w:rPr/>
        <w:t>application</w:t>
      </w:r>
      <w:r>
        <w:rPr>
          <w:spacing w:val="-5"/>
        </w:rPr>
        <w:t> </w:t>
      </w:r>
      <w:r>
        <w:rPr/>
        <w:t>and</w:t>
      </w:r>
      <w:r>
        <w:rPr>
          <w:spacing w:val="-5"/>
        </w:rPr>
        <w:t> </w:t>
      </w:r>
      <w:r>
        <w:rPr/>
        <w:t>renewal</w:t>
      </w:r>
      <w:r>
        <w:rPr>
          <w:spacing w:val="-5"/>
        </w:rPr>
        <w:t> </w:t>
      </w:r>
      <w:r>
        <w:rPr/>
        <w:t>policies</w:t>
      </w:r>
      <w:r>
        <w:rPr>
          <w:spacing w:val="-5"/>
        </w:rPr>
        <w:t> </w:t>
      </w:r>
      <w:r>
        <w:rPr/>
        <w:t>for</w:t>
      </w:r>
      <w:r>
        <w:rPr>
          <w:spacing w:val="-1"/>
        </w:rPr>
        <w:t> </w:t>
      </w:r>
      <w:r>
        <w:rPr/>
        <w:t>people</w:t>
      </w:r>
      <w:r>
        <w:rPr>
          <w:spacing w:val="-5"/>
        </w:rPr>
        <w:t> </w:t>
      </w:r>
      <w:r>
        <w:rPr/>
        <w:t>who</w:t>
      </w:r>
      <w:r>
        <w:rPr>
          <w:spacing w:val="-5"/>
        </w:rPr>
        <w:t> </w:t>
      </w:r>
      <w:r>
        <w:rPr/>
        <w:t>qualify</w:t>
      </w:r>
      <w:r>
        <w:rPr>
          <w:spacing w:val="-5"/>
        </w:rPr>
        <w:t> </w:t>
      </w:r>
      <w:r>
        <w:rPr/>
        <w:t>on</w:t>
      </w:r>
      <w:r>
        <w:rPr>
          <w:spacing w:val="-2"/>
        </w:rPr>
        <w:t> </w:t>
      </w:r>
      <w:r>
        <w:rPr/>
        <w:t>the</w:t>
      </w:r>
      <w:r>
        <w:rPr>
          <w:spacing w:val="-2"/>
        </w:rPr>
        <w:t> </w:t>
      </w:r>
      <w:r>
        <w:rPr/>
        <w:t>basis</w:t>
      </w:r>
      <w:r>
        <w:rPr>
          <w:spacing w:val="-5"/>
        </w:rPr>
        <w:t> </w:t>
      </w:r>
      <w:r>
        <w:rPr/>
        <w:t>of</w:t>
      </w:r>
    </w:p>
    <w:p>
      <w:pPr>
        <w:pStyle w:val="BodyText"/>
        <w:spacing w:before="206"/>
        <w:ind w:left="0"/>
        <w:rPr>
          <w:sz w:val="20"/>
        </w:rPr>
      </w:pPr>
      <w:r>
        <w:rPr/>
        <mc:AlternateContent>
          <mc:Choice Requires="wps">
            <w:drawing>
              <wp:anchor distT="0" distB="0" distL="0" distR="0" allowOverlap="1" layoutInCell="1" locked="0" behindDoc="1" simplePos="0" relativeHeight="487588864">
                <wp:simplePos x="0" y="0"/>
                <wp:positionH relativeFrom="page">
                  <wp:posOffset>1371600</wp:posOffset>
                </wp:positionH>
                <wp:positionV relativeFrom="paragraph">
                  <wp:posOffset>292458</wp:posOffset>
                </wp:positionV>
                <wp:extent cx="18288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3.028225pt;width:144pt;height:.6pt;mso-position-horizontal-relative:page;mso-position-vertical-relative:paragraph;z-index:-15727616;mso-wrap-distance-left:0;mso-wrap-distance-right:0" id="docshape3" filled="true" fillcolor="#000000" stroked="false">
                <v:fill type="solid"/>
                <w10:wrap type="topAndBottom"/>
              </v:rect>
            </w:pict>
          </mc:Fallback>
        </mc:AlternateContent>
      </w:r>
    </w:p>
    <w:p>
      <w:pPr>
        <w:pStyle w:val="ListParagraph"/>
        <w:numPr>
          <w:ilvl w:val="0"/>
          <w:numId w:val="2"/>
        </w:numPr>
        <w:tabs>
          <w:tab w:pos="1251" w:val="left" w:leader="none"/>
          <w:tab w:pos="1253" w:val="left" w:leader="none"/>
        </w:tabs>
        <w:spacing w:line="240" w:lineRule="auto" w:before="144" w:after="0"/>
        <w:ind w:left="1253" w:right="315" w:hanging="274"/>
        <w:jc w:val="left"/>
        <w:rPr>
          <w:sz w:val="20"/>
        </w:rPr>
      </w:pPr>
      <w:bookmarkStart w:name="_bookmark2" w:id="4"/>
      <w:bookmarkEnd w:id="4"/>
      <w:r>
        <w:rPr/>
      </w:r>
      <w:r>
        <w:rPr>
          <w:sz w:val="20"/>
        </w:rPr>
        <w:t>Centers for Medicare &amp; Medicaid Services, “Streamlining Medicaid; Medicare Savings</w:t>
      </w:r>
      <w:r>
        <w:rPr>
          <w:spacing w:val="-1"/>
          <w:sz w:val="20"/>
        </w:rPr>
        <w:t> </w:t>
      </w:r>
      <w:r>
        <w:rPr>
          <w:sz w:val="20"/>
        </w:rPr>
        <w:t>Program Eligibility Determination and Enrollment,” final rule, </w:t>
      </w:r>
      <w:r>
        <w:rPr>
          <w:i/>
          <w:sz w:val="20"/>
        </w:rPr>
        <w:t>88 Fed. Reg. </w:t>
      </w:r>
      <w:r>
        <w:rPr>
          <w:sz w:val="20"/>
        </w:rPr>
        <w:t>65230 (September 21, 2023), </w:t>
      </w:r>
      <w:hyperlink r:id="rId10">
        <w:r>
          <w:rPr>
            <w:color w:val="0562C1"/>
            <w:sz w:val="20"/>
          </w:rPr>
          <w:t>https://tinyurl.com/2up3bvw4</w:t>
        </w:r>
        <w:r>
          <w:rPr>
            <w:sz w:val="20"/>
          </w:rPr>
          <w:t>,</w:t>
        </w:r>
      </w:hyperlink>
      <w:r>
        <w:rPr>
          <w:sz w:val="20"/>
        </w:rPr>
        <w:t> and</w:t>
      </w:r>
      <w:r>
        <w:rPr>
          <w:spacing w:val="40"/>
          <w:sz w:val="20"/>
        </w:rPr>
        <w:t> </w:t>
      </w:r>
      <w:r>
        <w:rPr>
          <w:sz w:val="20"/>
        </w:rPr>
        <w:t>“Medicaid Program; Streamlining the Medicaid, Children’s Health</w:t>
      </w:r>
      <w:r>
        <w:rPr>
          <w:spacing w:val="-3"/>
          <w:sz w:val="20"/>
        </w:rPr>
        <w:t> </w:t>
      </w:r>
      <w:r>
        <w:rPr>
          <w:sz w:val="20"/>
        </w:rPr>
        <w:t>Insurance</w:t>
      </w:r>
      <w:r>
        <w:rPr>
          <w:spacing w:val="-4"/>
          <w:sz w:val="20"/>
        </w:rPr>
        <w:t> </w:t>
      </w:r>
      <w:r>
        <w:rPr>
          <w:sz w:val="20"/>
        </w:rPr>
        <w:t>Program,</w:t>
      </w:r>
      <w:r>
        <w:rPr>
          <w:spacing w:val="-6"/>
          <w:sz w:val="20"/>
        </w:rPr>
        <w:t> </w:t>
      </w:r>
      <w:r>
        <w:rPr>
          <w:sz w:val="20"/>
        </w:rPr>
        <w:t>and</w:t>
      </w:r>
      <w:r>
        <w:rPr>
          <w:spacing w:val="-3"/>
          <w:sz w:val="20"/>
        </w:rPr>
        <w:t> </w:t>
      </w:r>
      <w:r>
        <w:rPr>
          <w:sz w:val="20"/>
        </w:rPr>
        <w:t>Basic</w:t>
      </w:r>
      <w:r>
        <w:rPr>
          <w:spacing w:val="-4"/>
          <w:sz w:val="20"/>
        </w:rPr>
        <w:t> </w:t>
      </w:r>
      <w:r>
        <w:rPr>
          <w:sz w:val="20"/>
        </w:rPr>
        <w:t>Health</w:t>
      </w:r>
      <w:r>
        <w:rPr>
          <w:spacing w:val="-3"/>
          <w:sz w:val="20"/>
        </w:rPr>
        <w:t> </w:t>
      </w:r>
      <w:r>
        <w:rPr>
          <w:sz w:val="20"/>
        </w:rPr>
        <w:t>Program</w:t>
      </w:r>
      <w:r>
        <w:rPr>
          <w:spacing w:val="-3"/>
          <w:sz w:val="20"/>
        </w:rPr>
        <w:t> </w:t>
      </w:r>
      <w:r>
        <w:rPr>
          <w:sz w:val="20"/>
        </w:rPr>
        <w:t>Application,</w:t>
      </w:r>
      <w:r>
        <w:rPr>
          <w:spacing w:val="-3"/>
          <w:sz w:val="20"/>
        </w:rPr>
        <w:t> </w:t>
      </w:r>
      <w:r>
        <w:rPr>
          <w:sz w:val="20"/>
        </w:rPr>
        <w:t>Eligibility</w:t>
      </w:r>
      <w:r>
        <w:rPr>
          <w:spacing w:val="-3"/>
          <w:sz w:val="20"/>
        </w:rPr>
        <w:t> </w:t>
      </w:r>
      <w:r>
        <w:rPr>
          <w:sz w:val="20"/>
        </w:rPr>
        <w:t>Determination,</w:t>
      </w:r>
      <w:r>
        <w:rPr>
          <w:spacing w:val="-3"/>
          <w:sz w:val="20"/>
        </w:rPr>
        <w:t> </w:t>
      </w:r>
      <w:r>
        <w:rPr>
          <w:sz w:val="20"/>
        </w:rPr>
        <w:t>and Renewal</w:t>
      </w:r>
      <w:r>
        <w:rPr>
          <w:spacing w:val="-4"/>
          <w:sz w:val="20"/>
        </w:rPr>
        <w:t> </w:t>
      </w:r>
      <w:r>
        <w:rPr>
          <w:sz w:val="20"/>
        </w:rPr>
        <w:t>Processes,”</w:t>
      </w:r>
      <w:r>
        <w:rPr>
          <w:spacing w:val="-4"/>
          <w:sz w:val="20"/>
        </w:rPr>
        <w:t> </w:t>
      </w:r>
      <w:r>
        <w:rPr>
          <w:sz w:val="20"/>
        </w:rPr>
        <w:t>final</w:t>
      </w:r>
      <w:r>
        <w:rPr>
          <w:spacing w:val="-4"/>
          <w:sz w:val="20"/>
        </w:rPr>
        <w:t> </w:t>
      </w:r>
      <w:r>
        <w:rPr>
          <w:sz w:val="20"/>
        </w:rPr>
        <w:t>rule,</w:t>
      </w:r>
      <w:r>
        <w:rPr>
          <w:spacing w:val="-3"/>
          <w:sz w:val="20"/>
        </w:rPr>
        <w:t> </w:t>
      </w:r>
      <w:r>
        <w:rPr>
          <w:i/>
          <w:sz w:val="20"/>
        </w:rPr>
        <w:t>89</w:t>
      </w:r>
      <w:r>
        <w:rPr>
          <w:i/>
          <w:spacing w:val="-3"/>
          <w:sz w:val="20"/>
        </w:rPr>
        <w:t> </w:t>
      </w:r>
      <w:r>
        <w:rPr>
          <w:i/>
          <w:sz w:val="20"/>
        </w:rPr>
        <w:t>Fed.</w:t>
      </w:r>
      <w:r>
        <w:rPr>
          <w:i/>
          <w:spacing w:val="-3"/>
          <w:sz w:val="20"/>
        </w:rPr>
        <w:t> </w:t>
      </w:r>
      <w:r>
        <w:rPr>
          <w:i/>
          <w:sz w:val="20"/>
        </w:rPr>
        <w:t>Reg.</w:t>
      </w:r>
      <w:r>
        <w:rPr>
          <w:i/>
          <w:spacing w:val="-3"/>
          <w:sz w:val="20"/>
        </w:rPr>
        <w:t> </w:t>
      </w:r>
      <w:r>
        <w:rPr>
          <w:sz w:val="20"/>
        </w:rPr>
        <w:t>22780</w:t>
      </w:r>
      <w:r>
        <w:rPr>
          <w:spacing w:val="-5"/>
          <w:sz w:val="20"/>
        </w:rPr>
        <w:t> </w:t>
      </w:r>
      <w:r>
        <w:rPr>
          <w:sz w:val="20"/>
        </w:rPr>
        <w:t>(April</w:t>
      </w:r>
      <w:r>
        <w:rPr>
          <w:spacing w:val="-4"/>
          <w:sz w:val="20"/>
        </w:rPr>
        <w:t> </w:t>
      </w:r>
      <w:r>
        <w:rPr>
          <w:sz w:val="20"/>
        </w:rPr>
        <w:t>2,</w:t>
      </w:r>
      <w:r>
        <w:rPr>
          <w:spacing w:val="-5"/>
          <w:sz w:val="20"/>
        </w:rPr>
        <w:t> </w:t>
      </w:r>
      <w:r>
        <w:rPr>
          <w:sz w:val="20"/>
        </w:rPr>
        <w:t>2024),</w:t>
      </w:r>
      <w:r>
        <w:rPr>
          <w:spacing w:val="-3"/>
          <w:sz w:val="20"/>
        </w:rPr>
        <w:t> </w:t>
      </w:r>
      <w:hyperlink r:id="rId11">
        <w:r>
          <w:rPr>
            <w:color w:val="0562C1"/>
            <w:sz w:val="20"/>
          </w:rPr>
          <w:t>https://tinyurl.com/y9ebx2pt</w:t>
        </w:r>
        <w:r>
          <w:rPr>
            <w:sz w:val="20"/>
          </w:rPr>
          <w:t>.</w:t>
        </w:r>
      </w:hyperlink>
    </w:p>
    <w:p>
      <w:pPr>
        <w:spacing w:after="0" w:line="240" w:lineRule="auto"/>
        <w:jc w:val="left"/>
        <w:rPr>
          <w:sz w:val="20"/>
        </w:rPr>
        <w:sectPr>
          <w:pgSz w:w="12240" w:h="15840"/>
          <w:pgMar w:header="731" w:footer="0" w:top="1360" w:bottom="280" w:left="1180" w:right="1680"/>
        </w:sectPr>
      </w:pPr>
    </w:p>
    <w:p>
      <w:pPr>
        <w:pStyle w:val="BodyText"/>
        <w:spacing w:before="287"/>
        <w:ind w:right="160"/>
      </w:pPr>
      <w:r>
        <w:rPr/>
        <w:t>age or disability with policies for people who have income-based eligibility. Among several other provisions, the 2024 rule also requires states to provide Medicaid</w:t>
      </w:r>
      <w:r>
        <w:rPr>
          <w:spacing w:val="-6"/>
        </w:rPr>
        <w:t> </w:t>
      </w:r>
      <w:r>
        <w:rPr/>
        <w:t>enrollees</w:t>
      </w:r>
      <w:r>
        <w:rPr>
          <w:spacing w:val="-2"/>
        </w:rPr>
        <w:t> </w:t>
      </w:r>
      <w:r>
        <w:rPr/>
        <w:t>with</w:t>
      </w:r>
      <w:r>
        <w:rPr>
          <w:spacing w:val="-6"/>
        </w:rPr>
        <w:t> </w:t>
      </w:r>
      <w:r>
        <w:rPr/>
        <w:t>clear</w:t>
      </w:r>
      <w:r>
        <w:rPr>
          <w:spacing w:val="-6"/>
        </w:rPr>
        <w:t> </w:t>
      </w:r>
      <w:r>
        <w:rPr/>
        <w:t>guidance</w:t>
      </w:r>
      <w:r>
        <w:rPr>
          <w:spacing w:val="-6"/>
        </w:rPr>
        <w:t> </w:t>
      </w:r>
      <w:r>
        <w:rPr/>
        <w:t>and</w:t>
      </w:r>
      <w:r>
        <w:rPr>
          <w:spacing w:val="-3"/>
        </w:rPr>
        <w:t> </w:t>
      </w:r>
      <w:r>
        <w:rPr/>
        <w:t>adequate</w:t>
      </w:r>
      <w:r>
        <w:rPr>
          <w:spacing w:val="-6"/>
        </w:rPr>
        <w:t> </w:t>
      </w:r>
      <w:r>
        <w:rPr/>
        <w:t>time</w:t>
      </w:r>
      <w:r>
        <w:rPr>
          <w:spacing w:val="-3"/>
        </w:rPr>
        <w:t> </w:t>
      </w:r>
      <w:r>
        <w:rPr/>
        <w:t>to</w:t>
      </w:r>
      <w:r>
        <w:rPr>
          <w:spacing w:val="-6"/>
        </w:rPr>
        <w:t> </w:t>
      </w:r>
      <w:r>
        <w:rPr/>
        <w:t>confirm</w:t>
      </w:r>
      <w:r>
        <w:rPr>
          <w:spacing w:val="-3"/>
        </w:rPr>
        <w:t> </w:t>
      </w:r>
      <w:r>
        <w:rPr/>
        <w:t>ongoing eligibility, and to take extra steps before terminating coverage because of returned mail.</w:t>
      </w:r>
    </w:p>
    <w:p>
      <w:pPr>
        <w:pStyle w:val="Heading1"/>
      </w:pPr>
      <w:bookmarkStart w:name="Basis of CBO’s Estimates" w:id="5"/>
      <w:bookmarkEnd w:id="5"/>
      <w:r>
        <w:rPr>
          <w:b w:val="0"/>
        </w:rPr>
      </w:r>
      <w:r>
        <w:rPr/>
        <w:t>Basis</w:t>
      </w:r>
      <w:r>
        <w:rPr>
          <w:spacing w:val="-9"/>
        </w:rPr>
        <w:t> </w:t>
      </w:r>
      <w:r>
        <w:rPr/>
        <w:t>of</w:t>
      </w:r>
      <w:r>
        <w:rPr>
          <w:spacing w:val="-6"/>
        </w:rPr>
        <w:t> </w:t>
      </w:r>
      <w:r>
        <w:rPr/>
        <w:t>CBO’s</w:t>
      </w:r>
      <w:r>
        <w:rPr>
          <w:spacing w:val="-6"/>
        </w:rPr>
        <w:t> </w:t>
      </w:r>
      <w:r>
        <w:rPr>
          <w:spacing w:val="-2"/>
        </w:rPr>
        <w:t>Estimates</w:t>
      </w:r>
    </w:p>
    <w:p>
      <w:pPr>
        <w:pStyle w:val="BodyText"/>
        <w:spacing w:before="59"/>
        <w:ind w:right="268"/>
      </w:pPr>
      <w:r>
        <w:rPr/>
        <w:t>Options 1 through 4 would reduce the resources available to states to fund Medicaid</w:t>
      </w:r>
      <w:r>
        <w:rPr>
          <w:spacing w:val="-5"/>
        </w:rPr>
        <w:t> </w:t>
      </w:r>
      <w:r>
        <w:rPr/>
        <w:t>programs,</w:t>
      </w:r>
      <w:r>
        <w:rPr>
          <w:spacing w:val="-5"/>
        </w:rPr>
        <w:t> </w:t>
      </w:r>
      <w:r>
        <w:rPr/>
        <w:t>either</w:t>
      </w:r>
      <w:r>
        <w:rPr>
          <w:spacing w:val="-5"/>
        </w:rPr>
        <w:t> </w:t>
      </w:r>
      <w:r>
        <w:rPr/>
        <w:t>in</w:t>
      </w:r>
      <w:r>
        <w:rPr>
          <w:spacing w:val="-5"/>
        </w:rPr>
        <w:t> </w:t>
      </w:r>
      <w:r>
        <w:rPr/>
        <w:t>the</w:t>
      </w:r>
      <w:r>
        <w:rPr>
          <w:spacing w:val="-5"/>
        </w:rPr>
        <w:t> </w:t>
      </w:r>
      <w:r>
        <w:rPr/>
        <w:t>form</w:t>
      </w:r>
      <w:r>
        <w:rPr>
          <w:spacing w:val="-5"/>
        </w:rPr>
        <w:t> </w:t>
      </w:r>
      <w:r>
        <w:rPr/>
        <w:t>of</w:t>
      </w:r>
      <w:r>
        <w:rPr>
          <w:spacing w:val="-5"/>
        </w:rPr>
        <w:t> </w:t>
      </w:r>
      <w:r>
        <w:rPr/>
        <w:t>smaller</w:t>
      </w:r>
      <w:r>
        <w:rPr>
          <w:spacing w:val="-5"/>
        </w:rPr>
        <w:t> </w:t>
      </w:r>
      <w:r>
        <w:rPr/>
        <w:t>reimbursements</w:t>
      </w:r>
      <w:r>
        <w:rPr>
          <w:spacing w:val="-1"/>
        </w:rPr>
        <w:t> </w:t>
      </w:r>
      <w:r>
        <w:rPr/>
        <w:t>or</w:t>
      </w:r>
      <w:r>
        <w:rPr>
          <w:spacing w:val="-5"/>
        </w:rPr>
        <w:t> </w:t>
      </w:r>
      <w:r>
        <w:rPr/>
        <w:t>smaller tax revenues from providers. Given the reduced resources available to fund Medicaid, states would need to consider how to respond. Although states could maintain the same provider payment rates, benefits packages, and enrollment by raising taxes or reducing spending on other programs and spending those resources on Medicaid instead, CBO expects that such steps would prove challenging for many states.</w:t>
      </w:r>
    </w:p>
    <w:p>
      <w:pPr>
        <w:pStyle w:val="BodyText"/>
        <w:spacing w:before="259"/>
        <w:ind w:left="980" w:right="160"/>
      </w:pPr>
      <w:r>
        <w:rPr/>
        <w:t>States would vary concerning how they would replace the reduced funds—as well as the priorities they would place on maintaining current Medicaid benefits and enrollment. In CBO’s view, different states would make different choices</w:t>
      </w:r>
      <w:r>
        <w:rPr>
          <w:spacing w:val="-5"/>
        </w:rPr>
        <w:t> </w:t>
      </w:r>
      <w:r>
        <w:rPr/>
        <w:t>regarding</w:t>
      </w:r>
      <w:r>
        <w:rPr>
          <w:spacing w:val="-5"/>
        </w:rPr>
        <w:t> </w:t>
      </w:r>
      <w:r>
        <w:rPr/>
        <w:t>how</w:t>
      </w:r>
      <w:r>
        <w:rPr>
          <w:spacing w:val="-2"/>
        </w:rPr>
        <w:t> </w:t>
      </w:r>
      <w:r>
        <w:rPr/>
        <w:t>much</w:t>
      </w:r>
      <w:r>
        <w:rPr>
          <w:spacing w:val="-5"/>
        </w:rPr>
        <w:t> </w:t>
      </w:r>
      <w:r>
        <w:rPr/>
        <w:t>of</w:t>
      </w:r>
      <w:r>
        <w:rPr>
          <w:spacing w:val="-5"/>
        </w:rPr>
        <w:t> </w:t>
      </w:r>
      <w:r>
        <w:rPr/>
        <w:t>the</w:t>
      </w:r>
      <w:r>
        <w:rPr>
          <w:spacing w:val="-2"/>
        </w:rPr>
        <w:t> </w:t>
      </w:r>
      <w:r>
        <w:rPr/>
        <w:t>reduced</w:t>
      </w:r>
      <w:r>
        <w:rPr>
          <w:spacing w:val="-2"/>
        </w:rPr>
        <w:t> </w:t>
      </w:r>
      <w:r>
        <w:rPr/>
        <w:t>Medicaid</w:t>
      </w:r>
      <w:r>
        <w:rPr>
          <w:spacing w:val="-5"/>
        </w:rPr>
        <w:t> </w:t>
      </w:r>
      <w:r>
        <w:rPr/>
        <w:t>funds</w:t>
      </w:r>
      <w:r>
        <w:rPr>
          <w:spacing w:val="-5"/>
        </w:rPr>
        <w:t> </w:t>
      </w:r>
      <w:r>
        <w:rPr/>
        <w:t>to</w:t>
      </w:r>
      <w:r>
        <w:rPr>
          <w:spacing w:val="-5"/>
        </w:rPr>
        <w:t> </w:t>
      </w:r>
      <w:r>
        <w:rPr/>
        <w:t>replace.</w:t>
      </w:r>
      <w:r>
        <w:rPr>
          <w:spacing w:val="-5"/>
        </w:rPr>
        <w:t> </w:t>
      </w:r>
      <w:r>
        <w:rPr/>
        <w:t>Instead of modeling separate responses for each state, the agency estimated state responses in the aggregate, accounting for a range of possible outcomes.</w:t>
      </w:r>
    </w:p>
    <w:p>
      <w:pPr>
        <w:pStyle w:val="BodyText"/>
        <w:ind w:left="980" w:right="268"/>
      </w:pPr>
      <w:r>
        <w:rPr/>
        <w:t>Overall,</w:t>
      </w:r>
      <w:r>
        <w:rPr>
          <w:spacing w:val="-1"/>
        </w:rPr>
        <w:t> </w:t>
      </w:r>
      <w:r>
        <w:rPr/>
        <w:t>CBO</w:t>
      </w:r>
      <w:r>
        <w:rPr>
          <w:spacing w:val="-1"/>
        </w:rPr>
        <w:t> </w:t>
      </w:r>
      <w:r>
        <w:rPr/>
        <w:t>expects</w:t>
      </w:r>
      <w:r>
        <w:rPr>
          <w:spacing w:val="-1"/>
        </w:rPr>
        <w:t> </w:t>
      </w:r>
      <w:r>
        <w:rPr/>
        <w:t>that,</w:t>
      </w:r>
      <w:r>
        <w:rPr>
          <w:spacing w:val="-1"/>
        </w:rPr>
        <w:t> </w:t>
      </w:r>
      <w:r>
        <w:rPr/>
        <w:t>on</w:t>
      </w:r>
      <w:r>
        <w:rPr>
          <w:spacing w:val="-1"/>
        </w:rPr>
        <w:t> </w:t>
      </w:r>
      <w:r>
        <w:rPr/>
        <w:t>average,</w:t>
      </w:r>
      <w:r>
        <w:rPr>
          <w:spacing w:val="-1"/>
        </w:rPr>
        <w:t> </w:t>
      </w:r>
      <w:r>
        <w:rPr/>
        <w:t>states would</w:t>
      </w:r>
      <w:r>
        <w:rPr>
          <w:spacing w:val="-1"/>
        </w:rPr>
        <w:t> </w:t>
      </w:r>
      <w:r>
        <w:rPr/>
        <w:t>replace</w:t>
      </w:r>
      <w:r>
        <w:rPr>
          <w:spacing w:val="-1"/>
        </w:rPr>
        <w:t> </w:t>
      </w:r>
      <w:r>
        <w:rPr/>
        <w:t>roughly half</w:t>
      </w:r>
      <w:r>
        <w:rPr>
          <w:spacing w:val="-1"/>
        </w:rPr>
        <w:t> </w:t>
      </w:r>
      <w:r>
        <w:rPr/>
        <w:t>of the</w:t>
      </w:r>
      <w:r>
        <w:rPr>
          <w:spacing w:val="-2"/>
        </w:rPr>
        <w:t> </w:t>
      </w:r>
      <w:r>
        <w:rPr/>
        <w:t>reduced</w:t>
      </w:r>
      <w:r>
        <w:rPr>
          <w:spacing w:val="-2"/>
        </w:rPr>
        <w:t> </w:t>
      </w:r>
      <w:r>
        <w:rPr/>
        <w:t>funds</w:t>
      </w:r>
      <w:r>
        <w:rPr>
          <w:spacing w:val="-2"/>
        </w:rPr>
        <w:t> </w:t>
      </w:r>
      <w:r>
        <w:rPr/>
        <w:t>with their</w:t>
      </w:r>
      <w:r>
        <w:rPr>
          <w:spacing w:val="-2"/>
        </w:rPr>
        <w:t> </w:t>
      </w:r>
      <w:r>
        <w:rPr/>
        <w:t>own</w:t>
      </w:r>
      <w:r>
        <w:rPr>
          <w:spacing w:val="-2"/>
        </w:rPr>
        <w:t> </w:t>
      </w:r>
      <w:r>
        <w:rPr/>
        <w:t>resources. Additionally,</w:t>
      </w:r>
      <w:r>
        <w:rPr>
          <w:spacing w:val="-2"/>
        </w:rPr>
        <w:t> </w:t>
      </w:r>
      <w:r>
        <w:rPr/>
        <w:t>in</w:t>
      </w:r>
      <w:r>
        <w:rPr>
          <w:spacing w:val="-2"/>
        </w:rPr>
        <w:t> </w:t>
      </w:r>
      <w:r>
        <w:rPr/>
        <w:t>response to</w:t>
      </w:r>
      <w:r>
        <w:rPr>
          <w:spacing w:val="-2"/>
        </w:rPr>
        <w:t> </w:t>
      </w:r>
      <w:r>
        <w:rPr/>
        <w:t>the loss of the other half of the resources, states would modify their Medicaid programs</w:t>
      </w:r>
      <w:r>
        <w:rPr>
          <w:spacing w:val="-6"/>
        </w:rPr>
        <w:t> </w:t>
      </w:r>
      <w:r>
        <w:rPr/>
        <w:t>and</w:t>
      </w:r>
      <w:r>
        <w:rPr>
          <w:spacing w:val="-6"/>
        </w:rPr>
        <w:t> </w:t>
      </w:r>
      <w:r>
        <w:rPr/>
        <w:t>reduce</w:t>
      </w:r>
      <w:r>
        <w:rPr>
          <w:spacing w:val="-1"/>
        </w:rPr>
        <w:t> </w:t>
      </w:r>
      <w:r>
        <w:rPr/>
        <w:t>Medicaid</w:t>
      </w:r>
      <w:r>
        <w:rPr>
          <w:spacing w:val="-6"/>
        </w:rPr>
        <w:t> </w:t>
      </w:r>
      <w:r>
        <w:rPr/>
        <w:t>spending</w:t>
      </w:r>
      <w:r>
        <w:rPr>
          <w:spacing w:val="-3"/>
        </w:rPr>
        <w:t> </w:t>
      </w:r>
      <w:r>
        <w:rPr/>
        <w:t>using</w:t>
      </w:r>
      <w:r>
        <w:rPr>
          <w:spacing w:val="-6"/>
        </w:rPr>
        <w:t> </w:t>
      </w:r>
      <w:r>
        <w:rPr/>
        <w:t>three</w:t>
      </w:r>
      <w:r>
        <w:rPr>
          <w:spacing w:val="-6"/>
        </w:rPr>
        <w:t> </w:t>
      </w:r>
      <w:r>
        <w:rPr/>
        <w:t>levers:</w:t>
      </w:r>
      <w:r>
        <w:rPr>
          <w:spacing w:val="-6"/>
        </w:rPr>
        <w:t> </w:t>
      </w:r>
      <w:r>
        <w:rPr/>
        <w:t>reduce</w:t>
      </w:r>
      <w:r>
        <w:rPr>
          <w:spacing w:val="-3"/>
        </w:rPr>
        <w:t> </w:t>
      </w:r>
      <w:r>
        <w:rPr/>
        <w:t>provider payment rates, reduce the scope or amount of optional services, and reduce Medicaid enrollment.</w:t>
      </w:r>
    </w:p>
    <w:p>
      <w:pPr>
        <w:pStyle w:val="BodyText"/>
        <w:spacing w:before="259"/>
        <w:ind w:left="980" w:right="268"/>
      </w:pPr>
      <w:r>
        <w:rPr/>
        <w:t>In considering the changes that states might make to enrollment, CBO first examined how policy changes would influence states’ future decisions to expand Medicaid coverage under the ACA. In CBO’s baseline budget projections, additional states are expected to expand coverage, generally consistent with the historical trend since 2015—with the share of potentially eligible</w:t>
      </w:r>
      <w:r>
        <w:rPr>
          <w:spacing w:val="-5"/>
        </w:rPr>
        <w:t> </w:t>
      </w:r>
      <w:r>
        <w:rPr/>
        <w:t>adults</w:t>
      </w:r>
      <w:r>
        <w:rPr>
          <w:spacing w:val="-5"/>
        </w:rPr>
        <w:t> </w:t>
      </w:r>
      <w:r>
        <w:rPr/>
        <w:t>living</w:t>
      </w:r>
      <w:r>
        <w:rPr>
          <w:spacing w:val="-5"/>
        </w:rPr>
        <w:t> </w:t>
      </w:r>
      <w:r>
        <w:rPr/>
        <w:t>in</w:t>
      </w:r>
      <w:r>
        <w:rPr>
          <w:spacing w:val="-2"/>
        </w:rPr>
        <w:t> </w:t>
      </w:r>
      <w:r>
        <w:rPr/>
        <w:t>states</w:t>
      </w:r>
      <w:r>
        <w:rPr>
          <w:spacing w:val="-5"/>
        </w:rPr>
        <w:t> </w:t>
      </w:r>
      <w:r>
        <w:rPr/>
        <w:t>with</w:t>
      </w:r>
      <w:r>
        <w:rPr>
          <w:spacing w:val="-2"/>
        </w:rPr>
        <w:t> </w:t>
      </w:r>
      <w:r>
        <w:rPr/>
        <w:t>expanded</w:t>
      </w:r>
      <w:r>
        <w:rPr>
          <w:spacing w:val="-5"/>
        </w:rPr>
        <w:t> </w:t>
      </w:r>
      <w:r>
        <w:rPr/>
        <w:t>coverage</w:t>
      </w:r>
      <w:r>
        <w:rPr>
          <w:spacing w:val="-5"/>
        </w:rPr>
        <w:t> </w:t>
      </w:r>
      <w:r>
        <w:rPr/>
        <w:t>rising</w:t>
      </w:r>
      <w:r>
        <w:rPr>
          <w:spacing w:val="-5"/>
        </w:rPr>
        <w:t> </w:t>
      </w:r>
      <w:r>
        <w:rPr/>
        <w:t>from</w:t>
      </w:r>
      <w:r>
        <w:rPr>
          <w:spacing w:val="-1"/>
        </w:rPr>
        <w:t> </w:t>
      </w:r>
      <w:r>
        <w:rPr/>
        <w:t>72</w:t>
      </w:r>
      <w:r>
        <w:rPr>
          <w:spacing w:val="-2"/>
        </w:rPr>
        <w:t> </w:t>
      </w:r>
      <w:r>
        <w:rPr/>
        <w:t>percent in 2024 to 80 percent in 2035. Under Options 1 through 4, CBO projects, some states that would expand eligibility for Medicaid in the agency’s baseline projections would no longer do so because expanding coverage would require states to provide more of their own funds when faced with smaller resources under the policy options. In addition to decisions about future</w:t>
      </w:r>
      <w:r>
        <w:rPr>
          <w:spacing w:val="-3"/>
        </w:rPr>
        <w:t> </w:t>
      </w:r>
      <w:r>
        <w:rPr/>
        <w:t>expanded</w:t>
      </w:r>
      <w:r>
        <w:rPr>
          <w:spacing w:val="-3"/>
        </w:rPr>
        <w:t> </w:t>
      </w:r>
      <w:r>
        <w:rPr/>
        <w:t>coverage</w:t>
      </w:r>
      <w:r>
        <w:rPr>
          <w:spacing w:val="-3"/>
        </w:rPr>
        <w:t> </w:t>
      </w:r>
      <w:r>
        <w:rPr/>
        <w:t>for</w:t>
      </w:r>
      <w:r>
        <w:rPr>
          <w:spacing w:val="-3"/>
        </w:rPr>
        <w:t> </w:t>
      </w:r>
      <w:r>
        <w:rPr/>
        <w:t>adults</w:t>
      </w:r>
      <w:r>
        <w:rPr>
          <w:spacing w:val="-3"/>
        </w:rPr>
        <w:t> </w:t>
      </w:r>
      <w:r>
        <w:rPr/>
        <w:t>under the ACA,</w:t>
      </w:r>
      <w:r>
        <w:rPr>
          <w:spacing w:val="-3"/>
        </w:rPr>
        <w:t> </w:t>
      </w:r>
      <w:r>
        <w:rPr/>
        <w:t>CBO</w:t>
      </w:r>
      <w:r>
        <w:rPr>
          <w:spacing w:val="-3"/>
        </w:rPr>
        <w:t> </w:t>
      </w:r>
      <w:r>
        <w:rPr/>
        <w:t>expects</w:t>
      </w:r>
      <w:r>
        <w:rPr>
          <w:spacing w:val="-3"/>
        </w:rPr>
        <w:t> </w:t>
      </w:r>
      <w:r>
        <w:rPr/>
        <w:t>that</w:t>
      </w:r>
      <w:r>
        <w:rPr>
          <w:spacing w:val="-3"/>
        </w:rPr>
        <w:t> </w:t>
      </w:r>
      <w:r>
        <w:rPr/>
        <w:t>states would</w:t>
      </w:r>
      <w:r>
        <w:rPr>
          <w:spacing w:val="-8"/>
        </w:rPr>
        <w:t> </w:t>
      </w:r>
      <w:r>
        <w:rPr/>
        <w:t>reduce</w:t>
      </w:r>
      <w:r>
        <w:rPr>
          <w:spacing w:val="-7"/>
        </w:rPr>
        <w:t> </w:t>
      </w:r>
      <w:r>
        <w:rPr/>
        <w:t>enrollment</w:t>
      </w:r>
      <w:r>
        <w:rPr>
          <w:spacing w:val="-8"/>
        </w:rPr>
        <w:t> </w:t>
      </w:r>
      <w:r>
        <w:rPr/>
        <w:t>by</w:t>
      </w:r>
      <w:r>
        <w:rPr>
          <w:spacing w:val="-7"/>
        </w:rPr>
        <w:t> </w:t>
      </w:r>
      <w:r>
        <w:rPr/>
        <w:t>eliminating</w:t>
      </w:r>
      <w:r>
        <w:rPr>
          <w:spacing w:val="-5"/>
        </w:rPr>
        <w:t> </w:t>
      </w:r>
      <w:r>
        <w:rPr/>
        <w:t>optional</w:t>
      </w:r>
      <w:r>
        <w:rPr>
          <w:spacing w:val="-8"/>
        </w:rPr>
        <w:t> </w:t>
      </w:r>
      <w:r>
        <w:rPr/>
        <w:t>coverage</w:t>
      </w:r>
      <w:r>
        <w:rPr>
          <w:spacing w:val="-5"/>
        </w:rPr>
        <w:t> </w:t>
      </w:r>
      <w:r>
        <w:rPr/>
        <w:t>categories</w:t>
      </w:r>
      <w:r>
        <w:rPr>
          <w:spacing w:val="-4"/>
        </w:rPr>
        <w:t> </w:t>
      </w:r>
      <w:r>
        <w:rPr/>
        <w:t>and</w:t>
      </w:r>
      <w:r>
        <w:rPr>
          <w:spacing w:val="-8"/>
        </w:rPr>
        <w:t> </w:t>
      </w:r>
      <w:r>
        <w:rPr>
          <w:spacing w:val="-5"/>
        </w:rPr>
        <w:t>by</w:t>
      </w:r>
    </w:p>
    <w:p>
      <w:pPr>
        <w:spacing w:after="0"/>
        <w:sectPr>
          <w:pgSz w:w="12240" w:h="15840"/>
          <w:pgMar w:header="731" w:footer="0" w:top="1360" w:bottom="280" w:left="1180" w:right="1680"/>
        </w:sectPr>
      </w:pPr>
    </w:p>
    <w:p>
      <w:pPr>
        <w:pStyle w:val="BodyText"/>
        <w:spacing w:before="287"/>
      </w:pPr>
      <w:r>
        <w:rPr/>
        <w:t>changing</w:t>
      </w:r>
      <w:r>
        <w:rPr>
          <w:spacing w:val="-6"/>
        </w:rPr>
        <w:t> </w:t>
      </w:r>
      <w:r>
        <w:rPr/>
        <w:t>enrollment</w:t>
      </w:r>
      <w:r>
        <w:rPr>
          <w:spacing w:val="-6"/>
        </w:rPr>
        <w:t> </w:t>
      </w:r>
      <w:r>
        <w:rPr/>
        <w:t>policies</w:t>
      </w:r>
      <w:r>
        <w:rPr>
          <w:spacing w:val="-6"/>
        </w:rPr>
        <w:t> </w:t>
      </w:r>
      <w:r>
        <w:rPr/>
        <w:t>and</w:t>
      </w:r>
      <w:r>
        <w:rPr>
          <w:spacing w:val="-3"/>
        </w:rPr>
        <w:t> </w:t>
      </w:r>
      <w:r>
        <w:rPr/>
        <w:t>procedures</w:t>
      </w:r>
      <w:r>
        <w:rPr>
          <w:spacing w:val="-2"/>
        </w:rPr>
        <w:t> </w:t>
      </w:r>
      <w:r>
        <w:rPr/>
        <w:t>to</w:t>
      </w:r>
      <w:r>
        <w:rPr>
          <w:spacing w:val="-6"/>
        </w:rPr>
        <w:t> </w:t>
      </w:r>
      <w:r>
        <w:rPr/>
        <w:t>make</w:t>
      </w:r>
      <w:r>
        <w:rPr>
          <w:spacing w:val="-6"/>
        </w:rPr>
        <w:t> </w:t>
      </w:r>
      <w:r>
        <w:rPr/>
        <w:t>enrollment</w:t>
      </w:r>
      <w:r>
        <w:rPr>
          <w:spacing w:val="-3"/>
        </w:rPr>
        <w:t> </w:t>
      </w:r>
      <w:r>
        <w:rPr/>
        <w:t>more challenging to navigate.</w:t>
      </w:r>
    </w:p>
    <w:p>
      <w:pPr>
        <w:pStyle w:val="BodyText"/>
        <w:spacing w:before="261"/>
        <w:ind w:right="211"/>
      </w:pPr>
      <w:r>
        <w:rPr/>
        <w:t>CBO considered the extent to which states would reduce provider payments, benefits, and enrollment under each option individually, taking into account the incentives created by each policy. For example, under Option 1, CBO projects</w:t>
      </w:r>
      <w:r>
        <w:rPr>
          <w:spacing w:val="-4"/>
        </w:rPr>
        <w:t> </w:t>
      </w:r>
      <w:r>
        <w:rPr/>
        <w:t>that</w:t>
      </w:r>
      <w:r>
        <w:rPr>
          <w:spacing w:val="-4"/>
        </w:rPr>
        <w:t> </w:t>
      </w:r>
      <w:r>
        <w:rPr/>
        <w:t>laws</w:t>
      </w:r>
      <w:r>
        <w:rPr>
          <w:spacing w:val="-4"/>
        </w:rPr>
        <w:t> </w:t>
      </w:r>
      <w:r>
        <w:rPr/>
        <w:t>in</w:t>
      </w:r>
      <w:r>
        <w:rPr>
          <w:spacing w:val="-4"/>
        </w:rPr>
        <w:t> </w:t>
      </w:r>
      <w:r>
        <w:rPr/>
        <w:t>some</w:t>
      </w:r>
      <w:r>
        <w:rPr>
          <w:spacing w:val="-4"/>
        </w:rPr>
        <w:t> </w:t>
      </w:r>
      <w:r>
        <w:rPr/>
        <w:t>states</w:t>
      </w:r>
      <w:r>
        <w:rPr>
          <w:spacing w:val="-4"/>
        </w:rPr>
        <w:t> </w:t>
      </w:r>
      <w:r>
        <w:rPr/>
        <w:t>would</w:t>
      </w:r>
      <w:r>
        <w:rPr>
          <w:spacing w:val="-4"/>
        </w:rPr>
        <w:t> </w:t>
      </w:r>
      <w:r>
        <w:rPr/>
        <w:t>trigger</w:t>
      </w:r>
      <w:r>
        <w:rPr>
          <w:spacing w:val="-2"/>
        </w:rPr>
        <w:t> </w:t>
      </w:r>
      <w:r>
        <w:rPr/>
        <w:t>the</w:t>
      </w:r>
      <w:r>
        <w:rPr>
          <w:spacing w:val="-4"/>
        </w:rPr>
        <w:t> </w:t>
      </w:r>
      <w:r>
        <w:rPr/>
        <w:t>elimination</w:t>
      </w:r>
      <w:r>
        <w:rPr>
          <w:spacing w:val="-4"/>
        </w:rPr>
        <w:t> </w:t>
      </w:r>
      <w:r>
        <w:rPr/>
        <w:t>of</w:t>
      </w:r>
      <w:r>
        <w:rPr>
          <w:spacing w:val="-2"/>
        </w:rPr>
        <w:t> </w:t>
      </w:r>
      <w:r>
        <w:rPr/>
        <w:t>the</w:t>
      </w:r>
      <w:r>
        <w:rPr>
          <w:spacing w:val="-2"/>
        </w:rPr>
        <w:t> </w:t>
      </w:r>
      <w:r>
        <w:rPr/>
        <w:t>Medicaid expansion</w:t>
      </w:r>
      <w:r>
        <w:rPr>
          <w:spacing w:val="-1"/>
        </w:rPr>
        <w:t> </w:t>
      </w:r>
      <w:r>
        <w:rPr/>
        <w:t>because</w:t>
      </w:r>
      <w:r>
        <w:rPr>
          <w:spacing w:val="-4"/>
        </w:rPr>
        <w:t> </w:t>
      </w:r>
      <w:r>
        <w:rPr/>
        <w:t>of</w:t>
      </w:r>
      <w:r>
        <w:rPr>
          <w:spacing w:val="-4"/>
        </w:rPr>
        <w:t> </w:t>
      </w:r>
      <w:r>
        <w:rPr/>
        <w:t>the</w:t>
      </w:r>
      <w:r>
        <w:rPr>
          <w:spacing w:val="-4"/>
        </w:rPr>
        <w:t> </w:t>
      </w:r>
      <w:r>
        <w:rPr/>
        <w:t>reduced</w:t>
      </w:r>
      <w:r>
        <w:rPr>
          <w:spacing w:val="-1"/>
        </w:rPr>
        <w:t> </w:t>
      </w:r>
      <w:r>
        <w:rPr/>
        <w:t>matching</w:t>
      </w:r>
      <w:r>
        <w:rPr>
          <w:spacing w:val="-1"/>
        </w:rPr>
        <w:t> </w:t>
      </w:r>
      <w:r>
        <w:rPr/>
        <w:t>rate,</w:t>
      </w:r>
      <w:r>
        <w:rPr>
          <w:spacing w:val="-4"/>
        </w:rPr>
        <w:t> </w:t>
      </w:r>
      <w:r>
        <w:rPr/>
        <w:t>leading</w:t>
      </w:r>
      <w:r>
        <w:rPr>
          <w:spacing w:val="-4"/>
        </w:rPr>
        <w:t> </w:t>
      </w:r>
      <w:r>
        <w:rPr/>
        <w:t>to</w:t>
      </w:r>
      <w:r>
        <w:rPr>
          <w:spacing w:val="-4"/>
        </w:rPr>
        <w:t> </w:t>
      </w:r>
      <w:r>
        <w:rPr/>
        <w:t>a</w:t>
      </w:r>
      <w:r>
        <w:rPr>
          <w:spacing w:val="-4"/>
        </w:rPr>
        <w:t> </w:t>
      </w:r>
      <w:r>
        <w:rPr/>
        <w:t>greater</w:t>
      </w:r>
      <w:r>
        <w:rPr>
          <w:spacing w:val="-1"/>
        </w:rPr>
        <w:t> </w:t>
      </w:r>
      <w:r>
        <w:rPr/>
        <w:t>degree</w:t>
      </w:r>
      <w:r>
        <w:rPr>
          <w:spacing w:val="-4"/>
        </w:rPr>
        <w:t> </w:t>
      </w:r>
      <w:r>
        <w:rPr/>
        <w:t>of enrollment reduction.</w:t>
      </w:r>
    </w:p>
    <w:p>
      <w:pPr>
        <w:pStyle w:val="BodyText"/>
        <w:spacing w:before="257"/>
        <w:ind w:right="268"/>
      </w:pPr>
      <w:r>
        <w:rPr/>
        <w:t>For Options 1 through 4, the state response to reduce the total costs of their Medicaid programs would add to the federal savings from each policy. For Options 1, 3, and 4, the lower federal matching rates and the new caps on federal reimbursement would generate savings to the federal government before any steps states would take to reduce spending on their programs. In response to those federal policy changes, CBO expects that states would reduce the total costs of their Medicaid programs. As a result, the federal government would provide reimbursement for a smaller amount of state spending. Because the per-enrollee caps specified in Options 3 and 4 would set</w:t>
      </w:r>
      <w:r>
        <w:rPr>
          <w:spacing w:val="-1"/>
        </w:rPr>
        <w:t> </w:t>
      </w:r>
      <w:r>
        <w:rPr/>
        <w:t>a</w:t>
      </w:r>
      <w:r>
        <w:rPr>
          <w:spacing w:val="-1"/>
        </w:rPr>
        <w:t> </w:t>
      </w:r>
      <w:r>
        <w:rPr/>
        <w:t>fixed</w:t>
      </w:r>
      <w:r>
        <w:rPr>
          <w:spacing w:val="-1"/>
        </w:rPr>
        <w:t> </w:t>
      </w:r>
      <w:r>
        <w:rPr/>
        <w:t>amount of</w:t>
      </w:r>
      <w:r>
        <w:rPr>
          <w:spacing w:val="-1"/>
        </w:rPr>
        <w:t> </w:t>
      </w:r>
      <w:r>
        <w:rPr/>
        <w:t>federal</w:t>
      </w:r>
      <w:r>
        <w:rPr>
          <w:spacing w:val="-1"/>
        </w:rPr>
        <w:t> </w:t>
      </w:r>
      <w:r>
        <w:rPr/>
        <w:t>funding</w:t>
      </w:r>
      <w:r>
        <w:rPr>
          <w:spacing w:val="-1"/>
        </w:rPr>
        <w:t> </w:t>
      </w:r>
      <w:r>
        <w:rPr/>
        <w:t>per</w:t>
      </w:r>
      <w:r>
        <w:rPr>
          <w:spacing w:val="-1"/>
        </w:rPr>
        <w:t> </w:t>
      </w:r>
      <w:r>
        <w:rPr/>
        <w:t>beneficiary,</w:t>
      </w:r>
      <w:r>
        <w:rPr>
          <w:spacing w:val="-1"/>
        </w:rPr>
        <w:t> </w:t>
      </w:r>
      <w:r>
        <w:rPr/>
        <w:t>the state</w:t>
      </w:r>
      <w:r>
        <w:rPr>
          <w:spacing w:val="-1"/>
        </w:rPr>
        <w:t> </w:t>
      </w:r>
      <w:r>
        <w:rPr/>
        <w:t>reductions</w:t>
      </w:r>
      <w:r>
        <w:rPr>
          <w:spacing w:val="-1"/>
        </w:rPr>
        <w:t> </w:t>
      </w:r>
      <w:r>
        <w:rPr/>
        <w:t>in provider</w:t>
      </w:r>
      <w:r>
        <w:rPr>
          <w:spacing w:val="-5"/>
        </w:rPr>
        <w:t> </w:t>
      </w:r>
      <w:r>
        <w:rPr/>
        <w:t>payments</w:t>
      </w:r>
      <w:r>
        <w:rPr>
          <w:spacing w:val="-2"/>
        </w:rPr>
        <w:t> </w:t>
      </w:r>
      <w:r>
        <w:rPr/>
        <w:t>or</w:t>
      </w:r>
      <w:r>
        <w:rPr>
          <w:spacing w:val="-5"/>
        </w:rPr>
        <w:t> </w:t>
      </w:r>
      <w:r>
        <w:rPr/>
        <w:t>benefits</w:t>
      </w:r>
      <w:r>
        <w:rPr>
          <w:spacing w:val="-5"/>
        </w:rPr>
        <w:t> </w:t>
      </w:r>
      <w:r>
        <w:rPr/>
        <w:t>would</w:t>
      </w:r>
      <w:r>
        <w:rPr>
          <w:spacing w:val="-5"/>
        </w:rPr>
        <w:t> </w:t>
      </w:r>
      <w:r>
        <w:rPr/>
        <w:t>not</w:t>
      </w:r>
      <w:r>
        <w:rPr>
          <w:spacing w:val="-5"/>
        </w:rPr>
        <w:t> </w:t>
      </w:r>
      <w:r>
        <w:rPr/>
        <w:t>result</w:t>
      </w:r>
      <w:r>
        <w:rPr>
          <w:spacing w:val="-2"/>
        </w:rPr>
        <w:t> </w:t>
      </w:r>
      <w:r>
        <w:rPr/>
        <w:t>in</w:t>
      </w:r>
      <w:r>
        <w:rPr>
          <w:spacing w:val="-5"/>
        </w:rPr>
        <w:t> </w:t>
      </w:r>
      <w:r>
        <w:rPr/>
        <w:t>additional</w:t>
      </w:r>
      <w:r>
        <w:rPr>
          <w:spacing w:val="-5"/>
        </w:rPr>
        <w:t> </w:t>
      </w:r>
      <w:r>
        <w:rPr/>
        <w:t>federal</w:t>
      </w:r>
      <w:r>
        <w:rPr>
          <w:spacing w:val="-2"/>
        </w:rPr>
        <w:t> </w:t>
      </w:r>
      <w:r>
        <w:rPr/>
        <w:t>savings, although any reduction in enrollment would.</w:t>
      </w:r>
    </w:p>
    <w:p>
      <w:pPr>
        <w:pStyle w:val="BodyText"/>
        <w:spacing w:before="261"/>
        <w:ind w:right="268"/>
      </w:pPr>
      <w:r>
        <w:rPr/>
        <w:t>For Option 2, the elimination of provider taxes would not directly generate federal savings because there would be no change to Medicaid itself. That option would reduce resources available to states. CBO expects that, in the aggregate</w:t>
      </w:r>
      <w:r>
        <w:rPr>
          <w:spacing w:val="-4"/>
        </w:rPr>
        <w:t> </w:t>
      </w:r>
      <w:r>
        <w:rPr/>
        <w:t>and</w:t>
      </w:r>
      <w:r>
        <w:rPr>
          <w:spacing w:val="-4"/>
        </w:rPr>
        <w:t> </w:t>
      </w:r>
      <w:r>
        <w:rPr/>
        <w:t>after</w:t>
      </w:r>
      <w:r>
        <w:rPr>
          <w:spacing w:val="-4"/>
        </w:rPr>
        <w:t> </w:t>
      </w:r>
      <w:r>
        <w:rPr/>
        <w:t>accounting</w:t>
      </w:r>
      <w:r>
        <w:rPr>
          <w:spacing w:val="-4"/>
        </w:rPr>
        <w:t> </w:t>
      </w:r>
      <w:r>
        <w:rPr/>
        <w:t>for</w:t>
      </w:r>
      <w:r>
        <w:rPr>
          <w:spacing w:val="-1"/>
        </w:rPr>
        <w:t> </w:t>
      </w:r>
      <w:r>
        <w:rPr/>
        <w:t>decisions</w:t>
      </w:r>
      <w:r>
        <w:rPr>
          <w:spacing w:val="-4"/>
        </w:rPr>
        <w:t> </w:t>
      </w:r>
      <w:r>
        <w:rPr/>
        <w:t>about</w:t>
      </w:r>
      <w:r>
        <w:rPr>
          <w:spacing w:val="-4"/>
        </w:rPr>
        <w:t> </w:t>
      </w:r>
      <w:r>
        <w:rPr/>
        <w:t>expanded</w:t>
      </w:r>
      <w:r>
        <w:rPr>
          <w:spacing w:val="-4"/>
        </w:rPr>
        <w:t> </w:t>
      </w:r>
      <w:r>
        <w:rPr/>
        <w:t>coverage,</w:t>
      </w:r>
      <w:r>
        <w:rPr>
          <w:spacing w:val="-4"/>
        </w:rPr>
        <w:t> </w:t>
      </w:r>
      <w:r>
        <w:rPr/>
        <w:t>states would replace only 50 percent of the reduced provider revenues. Thus, state reductions</w:t>
      </w:r>
      <w:r>
        <w:rPr>
          <w:spacing w:val="-4"/>
        </w:rPr>
        <w:t> </w:t>
      </w:r>
      <w:r>
        <w:rPr/>
        <w:t>to</w:t>
      </w:r>
      <w:r>
        <w:rPr>
          <w:spacing w:val="-4"/>
        </w:rPr>
        <w:t> </w:t>
      </w:r>
      <w:r>
        <w:rPr/>
        <w:t>Medicaid</w:t>
      </w:r>
      <w:r>
        <w:rPr>
          <w:spacing w:val="-1"/>
        </w:rPr>
        <w:t> </w:t>
      </w:r>
      <w:r>
        <w:rPr/>
        <w:t>would</w:t>
      </w:r>
      <w:r>
        <w:rPr>
          <w:spacing w:val="-4"/>
        </w:rPr>
        <w:t> </w:t>
      </w:r>
      <w:r>
        <w:rPr/>
        <w:t>generate</w:t>
      </w:r>
      <w:r>
        <w:rPr>
          <w:spacing w:val="-4"/>
        </w:rPr>
        <w:t> </w:t>
      </w:r>
      <w:r>
        <w:rPr/>
        <w:t>savings</w:t>
      </w:r>
      <w:r>
        <w:rPr>
          <w:spacing w:val="-4"/>
        </w:rPr>
        <w:t> </w:t>
      </w:r>
      <w:r>
        <w:rPr/>
        <w:t>under</w:t>
      </w:r>
      <w:r>
        <w:rPr>
          <w:spacing w:val="-4"/>
        </w:rPr>
        <w:t> </w:t>
      </w:r>
      <w:r>
        <w:rPr/>
        <w:t>Option</w:t>
      </w:r>
      <w:r>
        <w:rPr>
          <w:spacing w:val="-4"/>
        </w:rPr>
        <w:t> </w:t>
      </w:r>
      <w:r>
        <w:rPr/>
        <w:t>2</w:t>
      </w:r>
      <w:r>
        <w:rPr>
          <w:spacing w:val="-4"/>
        </w:rPr>
        <w:t> </w:t>
      </w:r>
      <w:r>
        <w:rPr/>
        <w:t>that</w:t>
      </w:r>
      <w:r>
        <w:rPr>
          <w:spacing w:val="-4"/>
        </w:rPr>
        <w:t> </w:t>
      </w:r>
      <w:r>
        <w:rPr/>
        <w:t>would</w:t>
      </w:r>
      <w:r>
        <w:rPr>
          <w:spacing w:val="-4"/>
        </w:rPr>
        <w:t> </w:t>
      </w:r>
      <w:r>
        <w:rPr/>
        <w:t>be similar to those under Options 1, 3, and 4: The federal government would provide reimbursement for a smaller amount of state spending.</w:t>
      </w:r>
    </w:p>
    <w:p>
      <w:pPr>
        <w:pStyle w:val="BodyText"/>
        <w:spacing w:before="257"/>
      </w:pPr>
      <w:r>
        <w:rPr/>
        <w:t>Option</w:t>
      </w:r>
      <w:r>
        <w:rPr>
          <w:spacing w:val="-5"/>
        </w:rPr>
        <w:t> </w:t>
      </w:r>
      <w:r>
        <w:rPr/>
        <w:t>5,</w:t>
      </w:r>
      <w:r>
        <w:rPr>
          <w:spacing w:val="-2"/>
        </w:rPr>
        <w:t> </w:t>
      </w:r>
      <w:r>
        <w:rPr/>
        <w:t>which</w:t>
      </w:r>
      <w:r>
        <w:rPr>
          <w:spacing w:val="-5"/>
        </w:rPr>
        <w:t> </w:t>
      </w:r>
      <w:r>
        <w:rPr/>
        <w:t>would</w:t>
      </w:r>
      <w:r>
        <w:rPr>
          <w:spacing w:val="-2"/>
        </w:rPr>
        <w:t> </w:t>
      </w:r>
      <w:r>
        <w:rPr/>
        <w:t>repeal</w:t>
      </w:r>
      <w:r>
        <w:rPr>
          <w:spacing w:val="-5"/>
        </w:rPr>
        <w:t> </w:t>
      </w:r>
      <w:r>
        <w:rPr/>
        <w:t>the</w:t>
      </w:r>
      <w:r>
        <w:rPr>
          <w:spacing w:val="-5"/>
        </w:rPr>
        <w:t> </w:t>
      </w:r>
      <w:r>
        <w:rPr/>
        <w:t>Eligibility</w:t>
      </w:r>
      <w:r>
        <w:rPr>
          <w:spacing w:val="-5"/>
        </w:rPr>
        <w:t> </w:t>
      </w:r>
      <w:r>
        <w:rPr/>
        <w:t>and</w:t>
      </w:r>
      <w:r>
        <w:rPr>
          <w:spacing w:val="-5"/>
        </w:rPr>
        <w:t> </w:t>
      </w:r>
      <w:r>
        <w:rPr/>
        <w:t>Enrollment</w:t>
      </w:r>
      <w:r>
        <w:rPr>
          <w:spacing w:val="-5"/>
        </w:rPr>
        <w:t> </w:t>
      </w:r>
      <w:r>
        <w:rPr/>
        <w:t>final</w:t>
      </w:r>
      <w:r>
        <w:rPr>
          <w:spacing w:val="-2"/>
        </w:rPr>
        <w:t> </w:t>
      </w:r>
      <w:r>
        <w:rPr/>
        <w:t>rule,</w:t>
      </w:r>
      <w:r>
        <w:rPr>
          <w:spacing w:val="-5"/>
        </w:rPr>
        <w:t> </w:t>
      </w:r>
      <w:r>
        <w:rPr/>
        <w:t>would reduce enrollment but not affect the division of costs between the federal government and states, CBO estimates. Under the current rule, enrollment in Medicaid will increase because administrative barriers will be lower.</w:t>
      </w:r>
    </w:p>
    <w:p>
      <w:pPr>
        <w:pStyle w:val="BodyText"/>
        <w:spacing w:before="2"/>
        <w:ind w:right="241"/>
      </w:pPr>
      <w:r>
        <w:rPr/>
        <w:t>Repealing</w:t>
      </w:r>
      <w:r>
        <w:rPr>
          <w:spacing w:val="-4"/>
        </w:rPr>
        <w:t> </w:t>
      </w:r>
      <w:r>
        <w:rPr/>
        <w:t>that</w:t>
      </w:r>
      <w:r>
        <w:rPr>
          <w:spacing w:val="-4"/>
        </w:rPr>
        <w:t> </w:t>
      </w:r>
      <w:r>
        <w:rPr/>
        <w:t>final</w:t>
      </w:r>
      <w:r>
        <w:rPr>
          <w:spacing w:val="-1"/>
        </w:rPr>
        <w:t> </w:t>
      </w:r>
      <w:r>
        <w:rPr/>
        <w:t>rule</w:t>
      </w:r>
      <w:r>
        <w:rPr>
          <w:spacing w:val="-4"/>
        </w:rPr>
        <w:t> </w:t>
      </w:r>
      <w:r>
        <w:rPr/>
        <w:t>would</w:t>
      </w:r>
      <w:r>
        <w:rPr>
          <w:spacing w:val="-4"/>
        </w:rPr>
        <w:t> </w:t>
      </w:r>
      <w:r>
        <w:rPr/>
        <w:t>return</w:t>
      </w:r>
      <w:r>
        <w:rPr>
          <w:spacing w:val="-4"/>
        </w:rPr>
        <w:t> </w:t>
      </w:r>
      <w:r>
        <w:rPr/>
        <w:t>enrollment</w:t>
      </w:r>
      <w:r>
        <w:rPr>
          <w:spacing w:val="-4"/>
        </w:rPr>
        <w:t> </w:t>
      </w:r>
      <w:r>
        <w:rPr/>
        <w:t>to</w:t>
      </w:r>
      <w:r>
        <w:rPr>
          <w:spacing w:val="-4"/>
        </w:rPr>
        <w:t> </w:t>
      </w:r>
      <w:r>
        <w:rPr/>
        <w:t>levels</w:t>
      </w:r>
      <w:r>
        <w:rPr>
          <w:spacing w:val="-4"/>
        </w:rPr>
        <w:t> </w:t>
      </w:r>
      <w:r>
        <w:rPr/>
        <w:t>seen</w:t>
      </w:r>
      <w:r>
        <w:rPr>
          <w:spacing w:val="-4"/>
        </w:rPr>
        <w:t> </w:t>
      </w:r>
      <w:r>
        <w:rPr/>
        <w:t>before</w:t>
      </w:r>
      <w:r>
        <w:rPr>
          <w:spacing w:val="-4"/>
        </w:rPr>
        <w:t> </w:t>
      </w:r>
      <w:r>
        <w:rPr/>
        <w:t>the</w:t>
      </w:r>
      <w:r>
        <w:rPr>
          <w:spacing w:val="-4"/>
        </w:rPr>
        <w:t> </w:t>
      </w:r>
      <w:r>
        <w:rPr/>
        <w:t>rule took effect as states return to earlier administrative practices. Moreover, people who, under the rule, receive Medicare premium and cost-sharing assistance through MSPs are more likely to use Medicare-covered services, resulting in higher Medicare spending. Repealing the rule would generate net savings to states and therefore would not lead to additional state spending, reductions in provider payment rates, or reductions in benefits. In general,</w:t>
      </w:r>
    </w:p>
    <w:p>
      <w:pPr>
        <w:spacing w:after="0"/>
        <w:sectPr>
          <w:pgSz w:w="12240" w:h="15840"/>
          <w:pgMar w:header="731" w:footer="0" w:top="1360" w:bottom="280" w:left="1180" w:right="1680"/>
        </w:sectPr>
      </w:pPr>
    </w:p>
    <w:p>
      <w:pPr>
        <w:pStyle w:val="BodyText"/>
        <w:spacing w:before="287"/>
        <w:ind w:left="980" w:right="268"/>
      </w:pPr>
      <w:r>
        <w:rPr/>
        <w:t>CBO</w:t>
      </w:r>
      <w:r>
        <w:rPr>
          <w:spacing w:val="-5"/>
        </w:rPr>
        <w:t> </w:t>
      </w:r>
      <w:r>
        <w:rPr/>
        <w:t>does</w:t>
      </w:r>
      <w:r>
        <w:rPr>
          <w:spacing w:val="-2"/>
        </w:rPr>
        <w:t> </w:t>
      </w:r>
      <w:r>
        <w:rPr/>
        <w:t>not</w:t>
      </w:r>
      <w:r>
        <w:rPr>
          <w:spacing w:val="-5"/>
        </w:rPr>
        <w:t> </w:t>
      </w:r>
      <w:r>
        <w:rPr/>
        <w:t>consider</w:t>
      </w:r>
      <w:r>
        <w:rPr>
          <w:spacing w:val="-2"/>
        </w:rPr>
        <w:t> </w:t>
      </w:r>
      <w:r>
        <w:rPr/>
        <w:t>that</w:t>
      </w:r>
      <w:r>
        <w:rPr>
          <w:spacing w:val="-5"/>
        </w:rPr>
        <w:t> </w:t>
      </w:r>
      <w:r>
        <w:rPr/>
        <w:t>states</w:t>
      </w:r>
      <w:r>
        <w:rPr>
          <w:spacing w:val="-2"/>
        </w:rPr>
        <w:t> </w:t>
      </w:r>
      <w:r>
        <w:rPr/>
        <w:t>would</w:t>
      </w:r>
      <w:r>
        <w:rPr>
          <w:spacing w:val="-2"/>
        </w:rPr>
        <w:t> </w:t>
      </w:r>
      <w:r>
        <w:rPr/>
        <w:t>use</w:t>
      </w:r>
      <w:r>
        <w:rPr>
          <w:spacing w:val="-5"/>
        </w:rPr>
        <w:t> </w:t>
      </w:r>
      <w:r>
        <w:rPr/>
        <w:t>the</w:t>
      </w:r>
      <w:r>
        <w:rPr>
          <w:spacing w:val="-5"/>
        </w:rPr>
        <w:t> </w:t>
      </w:r>
      <w:r>
        <w:rPr/>
        <w:t>net</w:t>
      </w:r>
      <w:r>
        <w:rPr>
          <w:spacing w:val="-5"/>
        </w:rPr>
        <w:t> </w:t>
      </w:r>
      <w:r>
        <w:rPr/>
        <w:t>savings</w:t>
      </w:r>
      <w:r>
        <w:rPr>
          <w:spacing w:val="-5"/>
        </w:rPr>
        <w:t> </w:t>
      </w:r>
      <w:r>
        <w:rPr/>
        <w:t>generated</w:t>
      </w:r>
      <w:r>
        <w:rPr>
          <w:spacing w:val="-5"/>
        </w:rPr>
        <w:t> </w:t>
      </w:r>
      <w:r>
        <w:rPr/>
        <w:t>from Option 5 or certain other options that reduce enrollment alone, such as imposing work requirements, to increase states’ spending on Medicaid.</w:t>
      </w:r>
    </w:p>
    <w:p>
      <w:pPr>
        <w:pStyle w:val="Heading1"/>
        <w:ind w:left="980"/>
      </w:pPr>
      <w:bookmarkStart w:name="Estimated Effects" w:id="6"/>
      <w:bookmarkEnd w:id="6"/>
      <w:r>
        <w:rPr>
          <w:b w:val="0"/>
        </w:rPr>
      </w:r>
      <w:r>
        <w:rPr/>
        <w:t>Estimated</w:t>
      </w:r>
      <w:r>
        <w:rPr>
          <w:spacing w:val="-14"/>
        </w:rPr>
        <w:t> </w:t>
      </w:r>
      <w:r>
        <w:rPr>
          <w:spacing w:val="-2"/>
        </w:rPr>
        <w:t>Effects</w:t>
      </w:r>
    </w:p>
    <w:p>
      <w:pPr>
        <w:pStyle w:val="BodyText"/>
        <w:spacing w:before="59"/>
        <w:ind w:right="268"/>
      </w:pPr>
      <w:r>
        <w:rPr/>
        <w:t>CBO estimates that under Option 1, which would set the FMAP for the expansion population equal to that for other enrollees, the deficit would be reduced by $710 billion over the 2025–2034 period (see Table 1). That estimate</w:t>
      </w:r>
      <w:r>
        <w:rPr>
          <w:spacing w:val="-4"/>
        </w:rPr>
        <w:t> </w:t>
      </w:r>
      <w:r>
        <w:rPr/>
        <w:t>is</w:t>
      </w:r>
      <w:r>
        <w:rPr>
          <w:spacing w:val="-1"/>
        </w:rPr>
        <w:t> </w:t>
      </w:r>
      <w:r>
        <w:rPr/>
        <w:t>the</w:t>
      </w:r>
      <w:r>
        <w:rPr>
          <w:spacing w:val="-4"/>
        </w:rPr>
        <w:t> </w:t>
      </w:r>
      <w:r>
        <w:rPr/>
        <w:t>net</w:t>
      </w:r>
      <w:r>
        <w:rPr>
          <w:spacing w:val="-4"/>
        </w:rPr>
        <w:t> </w:t>
      </w:r>
      <w:r>
        <w:rPr/>
        <w:t>of</w:t>
      </w:r>
      <w:r>
        <w:rPr>
          <w:spacing w:val="-4"/>
        </w:rPr>
        <w:t> </w:t>
      </w:r>
      <w:r>
        <w:rPr/>
        <w:t>a</w:t>
      </w:r>
      <w:r>
        <w:rPr>
          <w:spacing w:val="-1"/>
        </w:rPr>
        <w:t> </w:t>
      </w:r>
      <w:r>
        <w:rPr/>
        <w:t>gross</w:t>
      </w:r>
      <w:r>
        <w:rPr>
          <w:spacing w:val="-4"/>
        </w:rPr>
        <w:t> </w:t>
      </w:r>
      <w:r>
        <w:rPr/>
        <w:t>decrease</w:t>
      </w:r>
      <w:r>
        <w:rPr>
          <w:spacing w:val="-4"/>
        </w:rPr>
        <w:t> </w:t>
      </w:r>
      <w:r>
        <w:rPr/>
        <w:t>in</w:t>
      </w:r>
      <w:r>
        <w:rPr>
          <w:spacing w:val="-4"/>
        </w:rPr>
        <w:t> </w:t>
      </w:r>
      <w:r>
        <w:rPr/>
        <w:t>Medicaid</w:t>
      </w:r>
      <w:r>
        <w:rPr>
          <w:spacing w:val="-4"/>
        </w:rPr>
        <w:t> </w:t>
      </w:r>
      <w:r>
        <w:rPr/>
        <w:t>spending</w:t>
      </w:r>
      <w:r>
        <w:rPr>
          <w:spacing w:val="-4"/>
        </w:rPr>
        <w:t> </w:t>
      </w:r>
      <w:r>
        <w:rPr/>
        <w:t>of</w:t>
      </w:r>
      <w:r>
        <w:rPr>
          <w:spacing w:val="-4"/>
        </w:rPr>
        <w:t> </w:t>
      </w:r>
      <w:r>
        <w:rPr/>
        <w:t>$860 billion and an increase in costs of $150 billion from enrollment in federally subsidized health insurance obtained through employment or in the marketplaces established by the ACA.</w:t>
      </w:r>
    </w:p>
    <w:p>
      <w:pPr>
        <w:pStyle w:val="BodyText"/>
        <w:spacing w:before="259"/>
        <w:ind w:left="980" w:right="268"/>
      </w:pPr>
      <w:r>
        <w:rPr/>
        <w:t>The $860 billion gross decrease in federal Medicaid spending consists of initial savings of $516 billion from the FMAP reduction, $142 billion in savings attributable to states’ reducing payment rates for providers and reducing</w:t>
      </w:r>
      <w:r>
        <w:rPr>
          <w:spacing w:val="-5"/>
        </w:rPr>
        <w:t> </w:t>
      </w:r>
      <w:r>
        <w:rPr/>
        <w:t>benefits,</w:t>
      </w:r>
      <w:r>
        <w:rPr>
          <w:spacing w:val="-5"/>
        </w:rPr>
        <w:t> </w:t>
      </w:r>
      <w:r>
        <w:rPr/>
        <w:t>and</w:t>
      </w:r>
      <w:r>
        <w:rPr>
          <w:spacing w:val="-2"/>
        </w:rPr>
        <w:t> </w:t>
      </w:r>
      <w:r>
        <w:rPr/>
        <w:t>$202</w:t>
      </w:r>
      <w:r>
        <w:rPr>
          <w:spacing w:val="-5"/>
        </w:rPr>
        <w:t> </w:t>
      </w:r>
      <w:r>
        <w:rPr/>
        <w:t>billion</w:t>
      </w:r>
      <w:r>
        <w:rPr>
          <w:spacing w:val="-5"/>
        </w:rPr>
        <w:t> </w:t>
      </w:r>
      <w:r>
        <w:rPr/>
        <w:t>in</w:t>
      </w:r>
      <w:r>
        <w:rPr>
          <w:spacing w:val="-5"/>
        </w:rPr>
        <w:t> </w:t>
      </w:r>
      <w:r>
        <w:rPr/>
        <w:t>savings</w:t>
      </w:r>
      <w:r>
        <w:rPr>
          <w:spacing w:val="-2"/>
        </w:rPr>
        <w:t> </w:t>
      </w:r>
      <w:r>
        <w:rPr/>
        <w:t>from</w:t>
      </w:r>
      <w:r>
        <w:rPr>
          <w:spacing w:val="-5"/>
        </w:rPr>
        <w:t> </w:t>
      </w:r>
      <w:r>
        <w:rPr/>
        <w:t>lower</w:t>
      </w:r>
      <w:r>
        <w:rPr>
          <w:spacing w:val="-2"/>
        </w:rPr>
        <w:t> </w:t>
      </w:r>
      <w:r>
        <w:rPr/>
        <w:t>enrollments.</w:t>
      </w:r>
      <w:r>
        <w:rPr>
          <w:spacing w:val="-5"/>
        </w:rPr>
        <w:t> </w:t>
      </w:r>
      <w:r>
        <w:rPr/>
        <w:t>CBO estimates that, in 2034, 2.4 million of the 5.5 million people who would no longer be enrolled in Medicaid under this option would be without health </w:t>
      </w:r>
      <w:r>
        <w:rPr>
          <w:spacing w:val="-2"/>
        </w:rPr>
        <w:t>insurance.</w:t>
      </w:r>
    </w:p>
    <w:p>
      <w:pPr>
        <w:pStyle w:val="BodyText"/>
        <w:spacing w:before="258"/>
        <w:ind w:left="980" w:right="160"/>
      </w:pPr>
      <w:r>
        <w:rPr/>
        <w:t>CBO expects that gross federal Medicaid spending also would decrease under Options 2 through 4 (which would impose limits on state tax collections from health care providers or establish caps on federal spending either for the entire Medicaid</w:t>
      </w:r>
      <w:r>
        <w:rPr>
          <w:spacing w:val="-5"/>
        </w:rPr>
        <w:t> </w:t>
      </w:r>
      <w:r>
        <w:rPr/>
        <w:t>population</w:t>
      </w:r>
      <w:r>
        <w:rPr>
          <w:spacing w:val="-5"/>
        </w:rPr>
        <w:t> </w:t>
      </w:r>
      <w:r>
        <w:rPr/>
        <w:t>or</w:t>
      </w:r>
      <w:r>
        <w:rPr>
          <w:spacing w:val="-2"/>
        </w:rPr>
        <w:t> </w:t>
      </w:r>
      <w:r>
        <w:rPr/>
        <w:t>for</w:t>
      </w:r>
      <w:r>
        <w:rPr>
          <w:spacing w:val="-5"/>
        </w:rPr>
        <w:t> </w:t>
      </w:r>
      <w:r>
        <w:rPr/>
        <w:t>the</w:t>
      </w:r>
      <w:r>
        <w:rPr>
          <w:spacing w:val="-5"/>
        </w:rPr>
        <w:t> </w:t>
      </w:r>
      <w:r>
        <w:rPr/>
        <w:t>expansion</w:t>
      </w:r>
      <w:r>
        <w:rPr>
          <w:spacing w:val="-5"/>
        </w:rPr>
        <w:t> </w:t>
      </w:r>
      <w:r>
        <w:rPr/>
        <w:t>population).</w:t>
      </w:r>
      <w:r>
        <w:rPr>
          <w:spacing w:val="-5"/>
        </w:rPr>
        <w:t> </w:t>
      </w:r>
      <w:r>
        <w:rPr/>
        <w:t>States</w:t>
      </w:r>
      <w:r>
        <w:rPr>
          <w:spacing w:val="-5"/>
        </w:rPr>
        <w:t> </w:t>
      </w:r>
      <w:r>
        <w:rPr/>
        <w:t>would</w:t>
      </w:r>
      <w:r>
        <w:rPr>
          <w:spacing w:val="-5"/>
        </w:rPr>
        <w:t> </w:t>
      </w:r>
      <w:r>
        <w:rPr/>
        <w:t>respond</w:t>
      </w:r>
      <w:r>
        <w:rPr>
          <w:spacing w:val="-5"/>
        </w:rPr>
        <w:t> </w:t>
      </w:r>
      <w:r>
        <w:rPr/>
        <w:t>to the loss of resources by increasing state spending on Medicaid, reducing payment</w:t>
      </w:r>
      <w:r>
        <w:rPr>
          <w:spacing w:val="-1"/>
        </w:rPr>
        <w:t> </w:t>
      </w:r>
      <w:r>
        <w:rPr/>
        <w:t>rates</w:t>
      </w:r>
      <w:r>
        <w:rPr>
          <w:spacing w:val="-1"/>
        </w:rPr>
        <w:t> </w:t>
      </w:r>
      <w:r>
        <w:rPr/>
        <w:t>for</w:t>
      </w:r>
      <w:r>
        <w:rPr>
          <w:spacing w:val="-1"/>
        </w:rPr>
        <w:t> </w:t>
      </w:r>
      <w:r>
        <w:rPr/>
        <w:t>providers,</w:t>
      </w:r>
      <w:r>
        <w:rPr>
          <w:spacing w:val="-1"/>
        </w:rPr>
        <w:t> </w:t>
      </w:r>
      <w:r>
        <w:rPr/>
        <w:t>limiting</w:t>
      </w:r>
      <w:r>
        <w:rPr>
          <w:spacing w:val="-1"/>
        </w:rPr>
        <w:t> </w:t>
      </w:r>
      <w:r>
        <w:rPr/>
        <w:t>benefits, and</w:t>
      </w:r>
      <w:r>
        <w:rPr>
          <w:spacing w:val="-1"/>
        </w:rPr>
        <w:t> </w:t>
      </w:r>
      <w:r>
        <w:rPr/>
        <w:t>reducing</w:t>
      </w:r>
      <w:r>
        <w:rPr>
          <w:spacing w:val="-1"/>
        </w:rPr>
        <w:t> </w:t>
      </w:r>
      <w:r>
        <w:rPr/>
        <w:t>enrollment.</w:t>
      </w:r>
      <w:r>
        <w:rPr>
          <w:spacing w:val="-1"/>
        </w:rPr>
        <w:t> </w:t>
      </w:r>
      <w:r>
        <w:rPr/>
        <w:t>Under each of those options, Medicaid enrollment would decrease and the number of people without health insurance would increase.</w:t>
      </w:r>
    </w:p>
    <w:p>
      <w:pPr>
        <w:pStyle w:val="BodyText"/>
        <w:spacing w:before="260"/>
        <w:ind w:left="980"/>
      </w:pPr>
      <w:r>
        <w:rPr/>
        <w:t>Under</w:t>
      </w:r>
      <w:r>
        <w:rPr>
          <w:spacing w:val="-5"/>
        </w:rPr>
        <w:t> </w:t>
      </w:r>
      <w:r>
        <w:rPr/>
        <w:t>Option</w:t>
      </w:r>
      <w:r>
        <w:rPr>
          <w:spacing w:val="-5"/>
        </w:rPr>
        <w:t> </w:t>
      </w:r>
      <w:r>
        <w:rPr/>
        <w:t>5,</w:t>
      </w:r>
      <w:r>
        <w:rPr>
          <w:spacing w:val="-5"/>
        </w:rPr>
        <w:t> </w:t>
      </w:r>
      <w:r>
        <w:rPr/>
        <w:t>which</w:t>
      </w:r>
      <w:r>
        <w:rPr>
          <w:spacing w:val="-2"/>
        </w:rPr>
        <w:t> </w:t>
      </w:r>
      <w:r>
        <w:rPr/>
        <w:t>would</w:t>
      </w:r>
      <w:r>
        <w:rPr>
          <w:spacing w:val="-5"/>
        </w:rPr>
        <w:t> </w:t>
      </w:r>
      <w:r>
        <w:rPr/>
        <w:t>repeal</w:t>
      </w:r>
      <w:r>
        <w:rPr>
          <w:spacing w:val="-5"/>
        </w:rPr>
        <w:t> </w:t>
      </w:r>
      <w:r>
        <w:rPr/>
        <w:t>the</w:t>
      </w:r>
      <w:r>
        <w:rPr>
          <w:spacing w:val="-5"/>
        </w:rPr>
        <w:t> </w:t>
      </w:r>
      <w:r>
        <w:rPr/>
        <w:t>Eligibility</w:t>
      </w:r>
      <w:r>
        <w:rPr>
          <w:spacing w:val="-5"/>
        </w:rPr>
        <w:t> </w:t>
      </w:r>
      <w:r>
        <w:rPr/>
        <w:t>and</w:t>
      </w:r>
      <w:r>
        <w:rPr>
          <w:spacing w:val="-2"/>
        </w:rPr>
        <w:t> </w:t>
      </w:r>
      <w:r>
        <w:rPr/>
        <w:t>Enrollment</w:t>
      </w:r>
      <w:r>
        <w:rPr>
          <w:spacing w:val="-5"/>
        </w:rPr>
        <w:t> </w:t>
      </w:r>
      <w:r>
        <w:rPr/>
        <w:t>final</w:t>
      </w:r>
      <w:r>
        <w:rPr>
          <w:spacing w:val="-5"/>
        </w:rPr>
        <w:t> </w:t>
      </w:r>
      <w:r>
        <w:rPr/>
        <w:t>rule, CBO estimates that the deficit would be reduced by $162 billion over the 2025–2034 period.</w:t>
      </w:r>
    </w:p>
    <w:p>
      <w:pPr>
        <w:pStyle w:val="BodyText"/>
        <w:spacing w:before="260"/>
        <w:ind w:left="980"/>
        <w:jc w:val="both"/>
      </w:pPr>
      <w:r>
        <w:rPr/>
        <w:t>That</w:t>
      </w:r>
      <w:r>
        <w:rPr>
          <w:spacing w:val="-6"/>
        </w:rPr>
        <w:t> </w:t>
      </w:r>
      <w:r>
        <w:rPr/>
        <w:t>estimate</w:t>
      </w:r>
      <w:r>
        <w:rPr>
          <w:spacing w:val="-6"/>
        </w:rPr>
        <w:t> </w:t>
      </w:r>
      <w:r>
        <w:rPr/>
        <w:t>is</w:t>
      </w:r>
      <w:r>
        <w:rPr>
          <w:spacing w:val="-6"/>
        </w:rPr>
        <w:t> </w:t>
      </w:r>
      <w:r>
        <w:rPr/>
        <w:t>the</w:t>
      </w:r>
      <w:r>
        <w:rPr>
          <w:spacing w:val="-3"/>
        </w:rPr>
        <w:t> </w:t>
      </w:r>
      <w:r>
        <w:rPr/>
        <w:t>net</w:t>
      </w:r>
      <w:r>
        <w:rPr>
          <w:spacing w:val="-3"/>
        </w:rPr>
        <w:t> </w:t>
      </w:r>
      <w:r>
        <w:rPr/>
        <w:t>of</w:t>
      </w:r>
      <w:r>
        <w:rPr>
          <w:spacing w:val="-6"/>
        </w:rPr>
        <w:t> </w:t>
      </w:r>
      <w:r>
        <w:rPr/>
        <w:t>a</w:t>
      </w:r>
      <w:r>
        <w:rPr>
          <w:spacing w:val="-6"/>
        </w:rPr>
        <w:t> </w:t>
      </w:r>
      <w:r>
        <w:rPr/>
        <w:t>gross</w:t>
      </w:r>
      <w:r>
        <w:rPr>
          <w:spacing w:val="-3"/>
        </w:rPr>
        <w:t> </w:t>
      </w:r>
      <w:r>
        <w:rPr/>
        <w:t>decrease</w:t>
      </w:r>
      <w:r>
        <w:rPr>
          <w:spacing w:val="-6"/>
        </w:rPr>
        <w:t> </w:t>
      </w:r>
      <w:r>
        <w:rPr/>
        <w:t>in</w:t>
      </w:r>
      <w:r>
        <w:rPr>
          <w:spacing w:val="-3"/>
        </w:rPr>
        <w:t> </w:t>
      </w:r>
      <w:r>
        <w:rPr/>
        <w:t>Medicaid</w:t>
      </w:r>
      <w:r>
        <w:rPr>
          <w:spacing w:val="-6"/>
        </w:rPr>
        <w:t> </w:t>
      </w:r>
      <w:r>
        <w:rPr/>
        <w:t>spending</w:t>
      </w:r>
      <w:r>
        <w:rPr>
          <w:spacing w:val="-3"/>
        </w:rPr>
        <w:t> </w:t>
      </w:r>
      <w:r>
        <w:rPr>
          <w:spacing w:val="-5"/>
        </w:rPr>
        <w:t>of</w:t>
      </w:r>
    </w:p>
    <w:p>
      <w:pPr>
        <w:pStyle w:val="BodyText"/>
        <w:spacing w:before="1"/>
        <w:ind w:left="980" w:right="659"/>
        <w:jc w:val="both"/>
      </w:pPr>
      <w:r>
        <w:rPr/>
        <w:t>$170</w:t>
      </w:r>
      <w:r>
        <w:rPr>
          <w:spacing w:val="-4"/>
        </w:rPr>
        <w:t> </w:t>
      </w:r>
      <w:r>
        <w:rPr/>
        <w:t>billion,</w:t>
      </w:r>
      <w:r>
        <w:rPr>
          <w:spacing w:val="-4"/>
        </w:rPr>
        <w:t> </w:t>
      </w:r>
      <w:r>
        <w:rPr/>
        <w:t>a</w:t>
      </w:r>
      <w:r>
        <w:rPr>
          <w:spacing w:val="-4"/>
        </w:rPr>
        <w:t> </w:t>
      </w:r>
      <w:r>
        <w:rPr/>
        <w:t>decrease</w:t>
      </w:r>
      <w:r>
        <w:rPr>
          <w:spacing w:val="-4"/>
        </w:rPr>
        <w:t> </w:t>
      </w:r>
      <w:r>
        <w:rPr/>
        <w:t>in</w:t>
      </w:r>
      <w:r>
        <w:rPr>
          <w:spacing w:val="-4"/>
        </w:rPr>
        <w:t> </w:t>
      </w:r>
      <w:r>
        <w:rPr/>
        <w:t>Medicare</w:t>
      </w:r>
      <w:r>
        <w:rPr>
          <w:spacing w:val="-4"/>
        </w:rPr>
        <w:t> </w:t>
      </w:r>
      <w:r>
        <w:rPr/>
        <w:t>spending</w:t>
      </w:r>
      <w:r>
        <w:rPr>
          <w:spacing w:val="-1"/>
        </w:rPr>
        <w:t> </w:t>
      </w:r>
      <w:r>
        <w:rPr/>
        <w:t>of</w:t>
      </w:r>
      <w:r>
        <w:rPr>
          <w:spacing w:val="-4"/>
        </w:rPr>
        <w:t> </w:t>
      </w:r>
      <w:r>
        <w:rPr/>
        <w:t>$11</w:t>
      </w:r>
      <w:r>
        <w:rPr>
          <w:spacing w:val="-4"/>
        </w:rPr>
        <w:t> </w:t>
      </w:r>
      <w:r>
        <w:rPr/>
        <w:t>billion,</w:t>
      </w:r>
      <w:r>
        <w:rPr>
          <w:spacing w:val="-4"/>
        </w:rPr>
        <w:t> </w:t>
      </w:r>
      <w:r>
        <w:rPr/>
        <w:t>a</w:t>
      </w:r>
      <w:r>
        <w:rPr>
          <w:spacing w:val="-4"/>
        </w:rPr>
        <w:t> </w:t>
      </w:r>
      <w:r>
        <w:rPr/>
        <w:t>decrease</w:t>
      </w:r>
      <w:r>
        <w:rPr>
          <w:spacing w:val="-4"/>
        </w:rPr>
        <w:t> </w:t>
      </w:r>
      <w:r>
        <w:rPr/>
        <w:t>in CHIP spending of $1 billion, and an increase of $20 billion attributable to increased enrollment in federally subsidized health insurance.</w:t>
      </w:r>
    </w:p>
    <w:p>
      <w:pPr>
        <w:pStyle w:val="BodyText"/>
        <w:spacing w:before="259"/>
        <w:ind w:left="980" w:right="303"/>
      </w:pPr>
      <w:r>
        <w:rPr/>
        <w:t>The decrease in federal Medicaid and CHIP spending would consist entirely of</w:t>
      </w:r>
      <w:r>
        <w:rPr>
          <w:spacing w:val="-5"/>
        </w:rPr>
        <w:t> </w:t>
      </w:r>
      <w:r>
        <w:rPr/>
        <w:t>savings</w:t>
      </w:r>
      <w:r>
        <w:rPr>
          <w:spacing w:val="-2"/>
        </w:rPr>
        <w:t> </w:t>
      </w:r>
      <w:r>
        <w:rPr/>
        <w:t>from</w:t>
      </w:r>
      <w:r>
        <w:rPr>
          <w:spacing w:val="-5"/>
        </w:rPr>
        <w:t> </w:t>
      </w:r>
      <w:r>
        <w:rPr/>
        <w:t>reduced</w:t>
      </w:r>
      <w:r>
        <w:rPr>
          <w:spacing w:val="-5"/>
        </w:rPr>
        <w:t> </w:t>
      </w:r>
      <w:r>
        <w:rPr/>
        <w:t>enrollment.</w:t>
      </w:r>
      <w:r>
        <w:rPr>
          <w:spacing w:val="-5"/>
        </w:rPr>
        <w:t> </w:t>
      </w:r>
      <w:r>
        <w:rPr/>
        <w:t>CBO</w:t>
      </w:r>
      <w:r>
        <w:rPr>
          <w:spacing w:val="-5"/>
        </w:rPr>
        <w:t> </w:t>
      </w:r>
      <w:r>
        <w:rPr/>
        <w:t>estimates</w:t>
      </w:r>
      <w:r>
        <w:rPr>
          <w:spacing w:val="-5"/>
        </w:rPr>
        <w:t> </w:t>
      </w:r>
      <w:r>
        <w:rPr/>
        <w:t>that,</w:t>
      </w:r>
      <w:r>
        <w:rPr>
          <w:spacing w:val="-2"/>
        </w:rPr>
        <w:t> </w:t>
      </w:r>
      <w:r>
        <w:rPr/>
        <w:t>in</w:t>
      </w:r>
      <w:r>
        <w:rPr>
          <w:spacing w:val="-5"/>
        </w:rPr>
        <w:t> </w:t>
      </w:r>
      <w:r>
        <w:rPr/>
        <w:t>2034,</w:t>
      </w:r>
      <w:r>
        <w:rPr>
          <w:spacing w:val="-5"/>
        </w:rPr>
        <w:t> </w:t>
      </w:r>
      <w:r>
        <w:rPr/>
        <w:t>2.3</w:t>
      </w:r>
      <w:r>
        <w:rPr>
          <w:spacing w:val="-2"/>
        </w:rPr>
        <w:t> </w:t>
      </w:r>
      <w:r>
        <w:rPr/>
        <w:t>million people would no longer be enrolled in Medicaid under this option. Roughly 60 percent of the people who would lose Medicaid coverage would be dual-</w:t>
      </w:r>
    </w:p>
    <w:p>
      <w:pPr>
        <w:spacing w:after="0"/>
        <w:sectPr>
          <w:pgSz w:w="12240" w:h="15840"/>
          <w:pgMar w:header="731" w:footer="0" w:top="1360" w:bottom="280" w:left="1180" w:right="1680"/>
        </w:sectPr>
      </w:pPr>
    </w:p>
    <w:p>
      <w:pPr>
        <w:pStyle w:val="BodyText"/>
        <w:spacing w:before="287"/>
        <w:ind w:right="268"/>
      </w:pPr>
      <w:r>
        <w:rPr/>
        <w:t>benefit enrollees who would retain their Medicare coverage. Medicare enrollees who were no longer receiving cost-sharing assistance would face increased</w:t>
      </w:r>
      <w:r>
        <w:rPr>
          <w:spacing w:val="-5"/>
        </w:rPr>
        <w:t> </w:t>
      </w:r>
      <w:r>
        <w:rPr/>
        <w:t>out-of-pocket</w:t>
      </w:r>
      <w:r>
        <w:rPr>
          <w:spacing w:val="-5"/>
        </w:rPr>
        <w:t> </w:t>
      </w:r>
      <w:r>
        <w:rPr/>
        <w:t>costs</w:t>
      </w:r>
      <w:r>
        <w:rPr>
          <w:spacing w:val="-5"/>
        </w:rPr>
        <w:t> </w:t>
      </w:r>
      <w:r>
        <w:rPr/>
        <w:t>(for</w:t>
      </w:r>
      <w:r>
        <w:rPr>
          <w:spacing w:val="-1"/>
        </w:rPr>
        <w:t> </w:t>
      </w:r>
      <w:r>
        <w:rPr/>
        <w:t>Medicare</w:t>
      </w:r>
      <w:r>
        <w:rPr>
          <w:spacing w:val="-2"/>
        </w:rPr>
        <w:t> </w:t>
      </w:r>
      <w:r>
        <w:rPr/>
        <w:t>premiums</w:t>
      </w:r>
      <w:r>
        <w:rPr>
          <w:spacing w:val="-5"/>
        </w:rPr>
        <w:t> </w:t>
      </w:r>
      <w:r>
        <w:rPr/>
        <w:t>and</w:t>
      </w:r>
      <w:r>
        <w:rPr>
          <w:spacing w:val="-4"/>
        </w:rPr>
        <w:t> </w:t>
      </w:r>
      <w:r>
        <w:rPr/>
        <w:t>copayments,</w:t>
      </w:r>
      <w:r>
        <w:rPr>
          <w:spacing w:val="-5"/>
        </w:rPr>
        <w:t> </w:t>
      </w:r>
      <w:r>
        <w:rPr/>
        <w:t>for example), leading to a reduction in use of Medicare’s services and thus to lower</w:t>
      </w:r>
      <w:r>
        <w:rPr>
          <w:spacing w:val="-5"/>
        </w:rPr>
        <w:t> </w:t>
      </w:r>
      <w:r>
        <w:rPr/>
        <w:t>Medicare</w:t>
      </w:r>
      <w:r>
        <w:rPr>
          <w:spacing w:val="-5"/>
        </w:rPr>
        <w:t> </w:t>
      </w:r>
      <w:r>
        <w:rPr/>
        <w:t>spending,</w:t>
      </w:r>
      <w:r>
        <w:rPr>
          <w:spacing w:val="-5"/>
        </w:rPr>
        <w:t> </w:t>
      </w:r>
      <w:r>
        <w:rPr/>
        <w:t>relative</w:t>
      </w:r>
      <w:r>
        <w:rPr>
          <w:spacing w:val="-3"/>
        </w:rPr>
        <w:t> </w:t>
      </w:r>
      <w:r>
        <w:rPr/>
        <w:t>to</w:t>
      </w:r>
      <w:r>
        <w:rPr>
          <w:spacing w:val="-5"/>
        </w:rPr>
        <w:t> </w:t>
      </w:r>
      <w:r>
        <w:rPr/>
        <w:t>amounts</w:t>
      </w:r>
      <w:r>
        <w:rPr>
          <w:spacing w:val="-2"/>
        </w:rPr>
        <w:t> </w:t>
      </w:r>
      <w:r>
        <w:rPr/>
        <w:t>currently</w:t>
      </w:r>
      <w:r>
        <w:rPr>
          <w:spacing w:val="-5"/>
        </w:rPr>
        <w:t> </w:t>
      </w:r>
      <w:r>
        <w:rPr/>
        <w:t>projected</w:t>
      </w:r>
      <w:r>
        <w:rPr>
          <w:spacing w:val="-5"/>
        </w:rPr>
        <w:t> </w:t>
      </w:r>
      <w:r>
        <w:rPr/>
        <w:t>under</w:t>
      </w:r>
      <w:r>
        <w:rPr>
          <w:spacing w:val="-5"/>
        </w:rPr>
        <w:t> </w:t>
      </w:r>
      <w:r>
        <w:rPr/>
        <w:t>the </w:t>
      </w:r>
      <w:r>
        <w:rPr>
          <w:spacing w:val="-2"/>
        </w:rPr>
        <w:t>rule.</w:t>
      </w:r>
    </w:p>
    <w:p>
      <w:pPr>
        <w:pStyle w:val="BodyText"/>
        <w:spacing w:before="28"/>
        <w:ind w:left="0"/>
        <w:rPr>
          <w:sz w:val="20"/>
        </w:rPr>
      </w:pPr>
    </w:p>
    <w:tbl>
      <w:tblPr>
        <w:tblW w:w="0" w:type="auto"/>
        <w:jc w:val="left"/>
        <w:tblInd w:w="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22"/>
        <w:gridCol w:w="1033"/>
        <w:gridCol w:w="1052"/>
        <w:gridCol w:w="1268"/>
        <w:gridCol w:w="1169"/>
        <w:gridCol w:w="1051"/>
      </w:tblGrid>
      <w:tr>
        <w:trPr>
          <w:trHeight w:val="391" w:hRule="atLeast"/>
        </w:trPr>
        <w:tc>
          <w:tcPr>
            <w:tcW w:w="2622" w:type="dxa"/>
            <w:tcBorders>
              <w:top w:val="single" w:sz="4" w:space="0" w:color="000000"/>
            </w:tcBorders>
          </w:tcPr>
          <w:p>
            <w:pPr>
              <w:pStyle w:val="TableParagraph"/>
              <w:spacing w:line="369" w:lineRule="exact"/>
              <w:ind w:left="57"/>
              <w:rPr>
                <w:b/>
                <w:sz w:val="16"/>
              </w:rPr>
            </w:pPr>
            <w:r>
              <w:rPr>
                <w:b/>
                <w:sz w:val="16"/>
              </w:rPr>
              <w:t>Table</w:t>
            </w:r>
            <w:r>
              <w:rPr>
                <w:b/>
                <w:spacing w:val="-5"/>
                <w:sz w:val="16"/>
              </w:rPr>
              <w:t> 1.</w:t>
            </w:r>
          </w:p>
        </w:tc>
        <w:tc>
          <w:tcPr>
            <w:tcW w:w="1033" w:type="dxa"/>
            <w:tcBorders>
              <w:top w:val="single" w:sz="4" w:space="0" w:color="000000"/>
            </w:tcBorders>
          </w:tcPr>
          <w:p>
            <w:pPr>
              <w:pStyle w:val="TableParagraph"/>
              <w:rPr>
                <w:rFonts w:ascii="Times New Roman"/>
                <w:sz w:val="18"/>
              </w:rPr>
            </w:pPr>
          </w:p>
        </w:tc>
        <w:tc>
          <w:tcPr>
            <w:tcW w:w="1052" w:type="dxa"/>
            <w:tcBorders>
              <w:top w:val="single" w:sz="4" w:space="0" w:color="000000"/>
            </w:tcBorders>
          </w:tcPr>
          <w:p>
            <w:pPr>
              <w:pStyle w:val="TableParagraph"/>
              <w:rPr>
                <w:rFonts w:ascii="Times New Roman"/>
                <w:sz w:val="18"/>
              </w:rPr>
            </w:pPr>
          </w:p>
        </w:tc>
        <w:tc>
          <w:tcPr>
            <w:tcW w:w="1268" w:type="dxa"/>
            <w:tcBorders>
              <w:top w:val="single" w:sz="4" w:space="0" w:color="000000"/>
            </w:tcBorders>
          </w:tcPr>
          <w:p>
            <w:pPr>
              <w:pStyle w:val="TableParagraph"/>
              <w:rPr>
                <w:rFonts w:ascii="Times New Roman"/>
                <w:sz w:val="18"/>
              </w:rPr>
            </w:pPr>
          </w:p>
        </w:tc>
        <w:tc>
          <w:tcPr>
            <w:tcW w:w="1169" w:type="dxa"/>
            <w:tcBorders>
              <w:top w:val="single" w:sz="4" w:space="0" w:color="000000"/>
            </w:tcBorders>
          </w:tcPr>
          <w:p>
            <w:pPr>
              <w:pStyle w:val="TableParagraph"/>
              <w:rPr>
                <w:rFonts w:ascii="Times New Roman"/>
                <w:sz w:val="18"/>
              </w:rPr>
            </w:pPr>
          </w:p>
        </w:tc>
        <w:tc>
          <w:tcPr>
            <w:tcW w:w="1051" w:type="dxa"/>
            <w:tcBorders>
              <w:top w:val="single" w:sz="4" w:space="0" w:color="000000"/>
            </w:tcBorders>
          </w:tcPr>
          <w:p>
            <w:pPr>
              <w:pStyle w:val="TableParagraph"/>
              <w:rPr>
                <w:rFonts w:ascii="Times New Roman"/>
                <w:sz w:val="18"/>
              </w:rPr>
            </w:pPr>
          </w:p>
        </w:tc>
      </w:tr>
      <w:tr>
        <w:trPr>
          <w:trHeight w:val="344" w:hRule="atLeast"/>
        </w:trPr>
        <w:tc>
          <w:tcPr>
            <w:tcW w:w="8195" w:type="dxa"/>
            <w:gridSpan w:val="6"/>
            <w:tcBorders>
              <w:bottom w:val="single" w:sz="4" w:space="0" w:color="000000"/>
            </w:tcBorders>
          </w:tcPr>
          <w:p>
            <w:pPr>
              <w:pStyle w:val="TableParagraph"/>
              <w:spacing w:line="325" w:lineRule="exact"/>
              <w:ind w:left="57"/>
              <w:rPr>
                <w:b/>
                <w:sz w:val="20"/>
              </w:rPr>
            </w:pPr>
            <w:r>
              <w:rPr>
                <w:b/>
                <w:sz w:val="20"/>
              </w:rPr>
              <w:t>Medicaid</w:t>
            </w:r>
            <w:r>
              <w:rPr>
                <w:b/>
                <w:spacing w:val="-6"/>
                <w:sz w:val="20"/>
              </w:rPr>
              <w:t> </w:t>
            </w:r>
            <w:r>
              <w:rPr>
                <w:b/>
                <w:sz w:val="20"/>
              </w:rPr>
              <w:t>Policy</w:t>
            </w:r>
            <w:r>
              <w:rPr>
                <w:b/>
                <w:spacing w:val="-6"/>
                <w:sz w:val="20"/>
              </w:rPr>
              <w:t> </w:t>
            </w:r>
            <w:r>
              <w:rPr>
                <w:b/>
                <w:sz w:val="20"/>
              </w:rPr>
              <w:t>Options</w:t>
            </w:r>
            <w:r>
              <w:rPr>
                <w:b/>
                <w:spacing w:val="-6"/>
                <w:sz w:val="20"/>
              </w:rPr>
              <w:t> </w:t>
            </w:r>
            <w:r>
              <w:rPr>
                <w:b/>
                <w:sz w:val="20"/>
              </w:rPr>
              <w:t>and</w:t>
            </w:r>
            <w:r>
              <w:rPr>
                <w:b/>
                <w:spacing w:val="-6"/>
                <w:sz w:val="20"/>
              </w:rPr>
              <w:t> </w:t>
            </w:r>
            <w:r>
              <w:rPr>
                <w:b/>
                <w:sz w:val="20"/>
              </w:rPr>
              <w:t>Estimated</w:t>
            </w:r>
            <w:r>
              <w:rPr>
                <w:b/>
                <w:spacing w:val="-5"/>
                <w:sz w:val="20"/>
              </w:rPr>
              <w:t> </w:t>
            </w:r>
            <w:r>
              <w:rPr>
                <w:b/>
                <w:sz w:val="20"/>
              </w:rPr>
              <w:t>Federal</w:t>
            </w:r>
            <w:r>
              <w:rPr>
                <w:b/>
                <w:spacing w:val="-6"/>
                <w:sz w:val="20"/>
              </w:rPr>
              <w:t> </w:t>
            </w:r>
            <w:r>
              <w:rPr>
                <w:b/>
                <w:sz w:val="20"/>
              </w:rPr>
              <w:t>Effects</w:t>
            </w:r>
            <w:r>
              <w:rPr>
                <w:b/>
                <w:spacing w:val="-6"/>
                <w:sz w:val="20"/>
              </w:rPr>
              <w:t> </w:t>
            </w:r>
            <w:r>
              <w:rPr>
                <w:b/>
                <w:sz w:val="20"/>
              </w:rPr>
              <w:t>From</w:t>
            </w:r>
            <w:r>
              <w:rPr>
                <w:b/>
                <w:spacing w:val="-7"/>
                <w:sz w:val="20"/>
              </w:rPr>
              <w:t> </w:t>
            </w:r>
            <w:r>
              <w:rPr>
                <w:b/>
                <w:sz w:val="20"/>
              </w:rPr>
              <w:t>State</w:t>
            </w:r>
            <w:r>
              <w:rPr>
                <w:b/>
                <w:spacing w:val="-6"/>
                <w:sz w:val="20"/>
              </w:rPr>
              <w:t> </w:t>
            </w:r>
            <w:r>
              <w:rPr>
                <w:b/>
                <w:sz w:val="20"/>
              </w:rPr>
              <w:t>Responses,</w:t>
            </w:r>
            <w:r>
              <w:rPr>
                <w:b/>
                <w:spacing w:val="-6"/>
                <w:sz w:val="20"/>
              </w:rPr>
              <w:t> </w:t>
            </w:r>
            <w:r>
              <w:rPr>
                <w:b/>
                <w:spacing w:val="-2"/>
                <w:sz w:val="20"/>
              </w:rPr>
              <w:t>2025–2034</w:t>
            </w:r>
          </w:p>
        </w:tc>
      </w:tr>
      <w:tr>
        <w:trPr>
          <w:trHeight w:val="651" w:hRule="atLeast"/>
        </w:trPr>
        <w:tc>
          <w:tcPr>
            <w:tcW w:w="2622" w:type="dxa"/>
            <w:vMerge w:val="restart"/>
            <w:tcBorders>
              <w:top w:val="single" w:sz="4" w:space="0" w:color="000000"/>
              <w:bottom w:val="single" w:sz="4" w:space="0" w:color="000000"/>
            </w:tcBorders>
          </w:tcPr>
          <w:p>
            <w:pPr>
              <w:pStyle w:val="TableParagraph"/>
              <w:rPr>
                <w:rFonts w:ascii="Times New Roman"/>
                <w:sz w:val="18"/>
              </w:rPr>
            </w:pPr>
          </w:p>
        </w:tc>
        <w:tc>
          <w:tcPr>
            <w:tcW w:w="1033" w:type="dxa"/>
            <w:vMerge w:val="restart"/>
            <w:tcBorders>
              <w:top w:val="single" w:sz="4" w:space="0" w:color="000000"/>
              <w:bottom w:val="single" w:sz="4" w:space="0" w:color="000000"/>
            </w:tcBorders>
          </w:tcPr>
          <w:p>
            <w:pPr>
              <w:pStyle w:val="TableParagraph"/>
              <w:spacing w:line="117" w:lineRule="auto" w:before="63"/>
              <w:ind w:left="35" w:right="101"/>
              <w:jc w:val="center"/>
              <w:rPr>
                <w:b/>
                <w:sz w:val="18"/>
              </w:rPr>
            </w:pPr>
            <w:r>
              <w:rPr>
                <w:b/>
                <w:sz w:val="18"/>
              </w:rPr>
              <w:t>Option 1. </w:t>
            </w:r>
            <w:r>
              <w:rPr>
                <w:b/>
                <w:spacing w:val="-2"/>
                <w:sz w:val="18"/>
              </w:rPr>
              <w:t>Reduce</w:t>
            </w:r>
            <w:r>
              <w:rPr>
                <w:b/>
                <w:sz w:val="18"/>
              </w:rPr>
              <w:t> </w:t>
            </w:r>
            <w:r>
              <w:rPr>
                <w:b/>
                <w:spacing w:val="-2"/>
                <w:sz w:val="18"/>
              </w:rPr>
              <w:t>Expansion</w:t>
            </w:r>
            <w:r>
              <w:rPr>
                <w:b/>
                <w:sz w:val="18"/>
              </w:rPr>
              <w:t> </w:t>
            </w:r>
            <w:r>
              <w:rPr>
                <w:b/>
                <w:spacing w:val="-2"/>
                <w:sz w:val="18"/>
              </w:rPr>
              <w:t>Population</w:t>
            </w:r>
            <w:r>
              <w:rPr>
                <w:b/>
                <w:sz w:val="18"/>
              </w:rPr>
              <w:t> </w:t>
            </w:r>
            <w:r>
              <w:rPr>
                <w:b/>
                <w:spacing w:val="-2"/>
                <w:sz w:val="18"/>
              </w:rPr>
              <w:t>Matching</w:t>
            </w:r>
            <w:r>
              <w:rPr>
                <w:b/>
                <w:sz w:val="18"/>
              </w:rPr>
              <w:t> </w:t>
            </w:r>
            <w:r>
              <w:rPr>
                <w:b/>
                <w:spacing w:val="-4"/>
                <w:sz w:val="18"/>
              </w:rPr>
              <w:t>Rate</w:t>
            </w:r>
          </w:p>
        </w:tc>
        <w:tc>
          <w:tcPr>
            <w:tcW w:w="1052" w:type="dxa"/>
            <w:vMerge w:val="restart"/>
            <w:tcBorders>
              <w:top w:val="single" w:sz="4" w:space="0" w:color="000000"/>
              <w:bottom w:val="single" w:sz="4" w:space="0" w:color="000000"/>
            </w:tcBorders>
          </w:tcPr>
          <w:p>
            <w:pPr>
              <w:pStyle w:val="TableParagraph"/>
              <w:spacing w:before="65"/>
              <w:rPr>
                <w:rFonts w:ascii="Times New Roman"/>
                <w:sz w:val="18"/>
              </w:rPr>
            </w:pPr>
          </w:p>
          <w:p>
            <w:pPr>
              <w:pStyle w:val="TableParagraph"/>
              <w:spacing w:line="117" w:lineRule="auto"/>
              <w:ind w:left="165" w:right="65" w:firstLine="88"/>
              <w:jc w:val="both"/>
              <w:rPr>
                <w:b/>
                <w:sz w:val="12"/>
              </w:rPr>
            </w:pPr>
            <w:r>
              <w:rPr>
                <w:b/>
                <w:sz w:val="18"/>
              </w:rPr>
              <w:t>Option 2. Limit</w:t>
            </w:r>
            <w:r>
              <w:rPr>
                <w:b/>
                <w:spacing w:val="-4"/>
                <w:sz w:val="18"/>
              </w:rPr>
              <w:t> </w:t>
            </w:r>
            <w:r>
              <w:rPr>
                <w:b/>
                <w:sz w:val="18"/>
              </w:rPr>
              <w:t>State Taxes</w:t>
            </w:r>
            <w:r>
              <w:rPr>
                <w:b/>
                <w:spacing w:val="-2"/>
                <w:sz w:val="18"/>
              </w:rPr>
              <w:t> </w:t>
            </w:r>
            <w:r>
              <w:rPr>
                <w:b/>
                <w:sz w:val="18"/>
              </w:rPr>
              <w:t>on Health</w:t>
            </w:r>
            <w:r>
              <w:rPr>
                <w:b/>
                <w:spacing w:val="-11"/>
                <w:sz w:val="18"/>
              </w:rPr>
              <w:t> </w:t>
            </w:r>
            <w:r>
              <w:rPr>
                <w:b/>
                <w:sz w:val="18"/>
              </w:rPr>
              <w:t>Care </w:t>
            </w:r>
            <w:r>
              <w:rPr>
                <w:b/>
                <w:spacing w:val="-2"/>
                <w:sz w:val="18"/>
              </w:rPr>
              <w:t>Providers</w:t>
            </w:r>
            <w:r>
              <w:rPr>
                <w:b/>
                <w:spacing w:val="-2"/>
                <w:position w:val="5"/>
                <w:sz w:val="12"/>
              </w:rPr>
              <w:t>a</w:t>
            </w:r>
          </w:p>
        </w:tc>
        <w:tc>
          <w:tcPr>
            <w:tcW w:w="2437" w:type="dxa"/>
            <w:gridSpan w:val="2"/>
            <w:tcBorders>
              <w:top w:val="single" w:sz="4" w:space="0" w:color="000000"/>
            </w:tcBorders>
          </w:tcPr>
          <w:p>
            <w:pPr>
              <w:pStyle w:val="TableParagraph"/>
              <w:spacing w:line="275" w:lineRule="exact" w:before="175"/>
              <w:ind w:left="150"/>
              <w:rPr>
                <w:b/>
                <w:sz w:val="12"/>
              </w:rPr>
            </w:pPr>
            <w:r>
              <w:rPr>
                <w:b/>
                <w:sz w:val="18"/>
              </w:rPr>
              <w:t>Cap</w:t>
            </w:r>
            <w:r>
              <w:rPr>
                <w:b/>
                <w:spacing w:val="-1"/>
                <w:sz w:val="18"/>
              </w:rPr>
              <w:t> </w:t>
            </w:r>
            <w:r>
              <w:rPr>
                <w:b/>
                <w:sz w:val="18"/>
              </w:rPr>
              <w:t>on</w:t>
            </w:r>
            <w:r>
              <w:rPr>
                <w:b/>
                <w:spacing w:val="-1"/>
                <w:sz w:val="18"/>
              </w:rPr>
              <w:t> </w:t>
            </w:r>
            <w:r>
              <w:rPr>
                <w:b/>
                <w:sz w:val="18"/>
              </w:rPr>
              <w:t>Spending</w:t>
            </w:r>
            <w:r>
              <w:rPr>
                <w:b/>
                <w:spacing w:val="-3"/>
                <w:sz w:val="18"/>
              </w:rPr>
              <w:t> </w:t>
            </w:r>
            <w:r>
              <w:rPr>
                <w:b/>
                <w:sz w:val="18"/>
              </w:rPr>
              <w:t>per </w:t>
            </w:r>
            <w:r>
              <w:rPr>
                <w:b/>
                <w:spacing w:val="-2"/>
                <w:sz w:val="18"/>
              </w:rPr>
              <w:t>Enrollee</w:t>
            </w:r>
            <w:r>
              <w:rPr>
                <w:b/>
                <w:spacing w:val="-2"/>
                <w:position w:val="5"/>
                <w:sz w:val="12"/>
              </w:rPr>
              <w:t>b</w:t>
            </w:r>
          </w:p>
          <w:p>
            <w:pPr>
              <w:pStyle w:val="TableParagraph"/>
              <w:tabs>
                <w:tab w:pos="2404" w:val="left" w:leader="none"/>
              </w:tabs>
              <w:spacing w:line="181" w:lineRule="exact"/>
              <w:ind w:left="64"/>
              <w:rPr>
                <w:b/>
                <w:sz w:val="18"/>
              </w:rPr>
            </w:pPr>
            <w:r>
              <w:rPr>
                <w:b/>
                <w:sz w:val="18"/>
                <w:u w:val="single"/>
              </w:rPr>
              <w:t> </w:t>
              <w:tab/>
            </w:r>
          </w:p>
        </w:tc>
        <w:tc>
          <w:tcPr>
            <w:tcW w:w="1051" w:type="dxa"/>
            <w:vMerge w:val="restart"/>
            <w:tcBorders>
              <w:top w:val="single" w:sz="4" w:space="0" w:color="000000"/>
              <w:bottom w:val="single" w:sz="4" w:space="0" w:color="000000"/>
            </w:tcBorders>
          </w:tcPr>
          <w:p>
            <w:pPr>
              <w:pStyle w:val="TableParagraph"/>
              <w:spacing w:before="65"/>
              <w:rPr>
                <w:rFonts w:ascii="Times New Roman"/>
                <w:sz w:val="18"/>
              </w:rPr>
            </w:pPr>
          </w:p>
          <w:p>
            <w:pPr>
              <w:pStyle w:val="TableParagraph"/>
              <w:spacing w:line="117" w:lineRule="auto"/>
              <w:ind w:left="27" w:right="62" w:hanging="2"/>
              <w:jc w:val="center"/>
              <w:rPr>
                <w:b/>
                <w:sz w:val="12"/>
              </w:rPr>
            </w:pPr>
            <w:r>
              <w:rPr>
                <w:b/>
                <w:sz w:val="18"/>
              </w:rPr>
              <w:t>Option 5. </w:t>
            </w:r>
            <w:r>
              <w:rPr>
                <w:b/>
                <w:spacing w:val="-2"/>
                <w:sz w:val="18"/>
              </w:rPr>
              <w:t>Repeal</w:t>
            </w:r>
            <w:r>
              <w:rPr>
                <w:b/>
                <w:sz w:val="18"/>
              </w:rPr>
              <w:t> Eligibility</w:t>
            </w:r>
            <w:r>
              <w:rPr>
                <w:b/>
                <w:spacing w:val="-11"/>
                <w:sz w:val="18"/>
              </w:rPr>
              <w:t> </w:t>
            </w:r>
            <w:r>
              <w:rPr>
                <w:b/>
                <w:sz w:val="18"/>
              </w:rPr>
              <w:t>and </w:t>
            </w:r>
            <w:r>
              <w:rPr>
                <w:b/>
                <w:spacing w:val="-2"/>
                <w:sz w:val="18"/>
              </w:rPr>
              <w:t>Enrollment</w:t>
            </w:r>
            <w:r>
              <w:rPr>
                <w:b/>
                <w:sz w:val="18"/>
              </w:rPr>
              <w:t> Final</w:t>
            </w:r>
            <w:r>
              <w:rPr>
                <w:b/>
                <w:spacing w:val="-2"/>
                <w:sz w:val="18"/>
              </w:rPr>
              <w:t> </w:t>
            </w:r>
            <w:r>
              <w:rPr>
                <w:b/>
                <w:sz w:val="18"/>
              </w:rPr>
              <w:t>Rule</w:t>
            </w:r>
            <w:r>
              <w:rPr>
                <w:b/>
                <w:position w:val="5"/>
                <w:sz w:val="12"/>
              </w:rPr>
              <w:t>c</w:t>
            </w:r>
          </w:p>
        </w:tc>
      </w:tr>
      <w:tr>
        <w:trPr>
          <w:trHeight w:val="701" w:hRule="atLeast"/>
        </w:trPr>
        <w:tc>
          <w:tcPr>
            <w:tcW w:w="2622" w:type="dxa"/>
            <w:vMerge/>
            <w:tcBorders>
              <w:top w:val="nil"/>
              <w:bottom w:val="single" w:sz="4" w:space="0" w:color="000000"/>
            </w:tcBorders>
          </w:tcPr>
          <w:p>
            <w:pPr>
              <w:rPr>
                <w:sz w:val="2"/>
                <w:szCs w:val="2"/>
              </w:rPr>
            </w:pPr>
          </w:p>
        </w:tc>
        <w:tc>
          <w:tcPr>
            <w:tcW w:w="1033" w:type="dxa"/>
            <w:vMerge/>
            <w:tcBorders>
              <w:top w:val="nil"/>
              <w:bottom w:val="single" w:sz="4" w:space="0" w:color="000000"/>
            </w:tcBorders>
          </w:tcPr>
          <w:p>
            <w:pPr>
              <w:rPr>
                <w:sz w:val="2"/>
                <w:szCs w:val="2"/>
              </w:rPr>
            </w:pPr>
          </w:p>
        </w:tc>
        <w:tc>
          <w:tcPr>
            <w:tcW w:w="1052" w:type="dxa"/>
            <w:vMerge/>
            <w:tcBorders>
              <w:top w:val="nil"/>
              <w:bottom w:val="single" w:sz="4" w:space="0" w:color="000000"/>
            </w:tcBorders>
          </w:tcPr>
          <w:p>
            <w:pPr>
              <w:rPr>
                <w:sz w:val="2"/>
                <w:szCs w:val="2"/>
              </w:rPr>
            </w:pPr>
          </w:p>
        </w:tc>
        <w:tc>
          <w:tcPr>
            <w:tcW w:w="1268" w:type="dxa"/>
            <w:tcBorders>
              <w:bottom w:val="single" w:sz="4" w:space="0" w:color="000000"/>
            </w:tcBorders>
          </w:tcPr>
          <w:p>
            <w:pPr>
              <w:pStyle w:val="TableParagraph"/>
              <w:spacing w:line="117" w:lineRule="auto" w:before="24"/>
              <w:ind w:left="205" w:right="168" w:firstLine="122"/>
              <w:rPr>
                <w:b/>
                <w:sz w:val="18"/>
              </w:rPr>
            </w:pPr>
            <w:r>
              <w:rPr>
                <w:b/>
                <w:sz w:val="18"/>
              </w:rPr>
              <w:t>Option 3. All</w:t>
            </w:r>
            <w:r>
              <w:rPr>
                <w:b/>
                <w:spacing w:val="-11"/>
                <w:sz w:val="18"/>
              </w:rPr>
              <w:t> </w:t>
            </w:r>
            <w:r>
              <w:rPr>
                <w:b/>
                <w:sz w:val="18"/>
              </w:rPr>
              <w:t>Eligibility </w:t>
            </w:r>
            <w:r>
              <w:rPr>
                <w:b/>
                <w:spacing w:val="-2"/>
                <w:sz w:val="18"/>
              </w:rPr>
              <w:t>Groups</w:t>
            </w:r>
          </w:p>
        </w:tc>
        <w:tc>
          <w:tcPr>
            <w:tcW w:w="1169" w:type="dxa"/>
            <w:tcBorders>
              <w:bottom w:val="single" w:sz="4" w:space="0" w:color="000000"/>
            </w:tcBorders>
          </w:tcPr>
          <w:p>
            <w:pPr>
              <w:pStyle w:val="TableParagraph"/>
              <w:spacing w:line="117" w:lineRule="auto" w:before="24"/>
              <w:ind w:left="173" w:right="244" w:firstLine="55"/>
              <w:jc w:val="both"/>
              <w:rPr>
                <w:b/>
                <w:sz w:val="18"/>
              </w:rPr>
            </w:pPr>
            <w:r>
              <w:rPr>
                <w:b/>
                <w:sz w:val="18"/>
              </w:rPr>
              <w:t>Option 4. </w:t>
            </w:r>
            <w:r>
              <w:rPr>
                <w:b/>
                <w:spacing w:val="-2"/>
                <w:sz w:val="18"/>
              </w:rPr>
              <w:t>Expansion</w:t>
            </w:r>
            <w:r>
              <w:rPr>
                <w:b/>
                <w:sz w:val="18"/>
              </w:rPr>
              <w:t> </w:t>
            </w:r>
            <w:r>
              <w:rPr>
                <w:b/>
                <w:spacing w:val="-4"/>
                <w:sz w:val="18"/>
              </w:rPr>
              <w:t>Only</w:t>
            </w:r>
          </w:p>
        </w:tc>
        <w:tc>
          <w:tcPr>
            <w:tcW w:w="1051" w:type="dxa"/>
            <w:vMerge/>
            <w:tcBorders>
              <w:top w:val="nil"/>
              <w:bottom w:val="single" w:sz="4" w:space="0" w:color="000000"/>
            </w:tcBorders>
          </w:tcPr>
          <w:p>
            <w:pPr>
              <w:rPr>
                <w:sz w:val="2"/>
                <w:szCs w:val="2"/>
              </w:rPr>
            </w:pPr>
          </w:p>
        </w:tc>
      </w:tr>
      <w:tr>
        <w:trPr>
          <w:trHeight w:val="379" w:hRule="atLeast"/>
        </w:trPr>
        <w:tc>
          <w:tcPr>
            <w:tcW w:w="8195" w:type="dxa"/>
            <w:gridSpan w:val="6"/>
            <w:tcBorders>
              <w:top w:val="single" w:sz="4" w:space="0" w:color="000000"/>
            </w:tcBorders>
          </w:tcPr>
          <w:p>
            <w:pPr>
              <w:pStyle w:val="TableParagraph"/>
              <w:spacing w:line="356" w:lineRule="exact"/>
              <w:ind w:left="57"/>
              <w:rPr>
                <w:b/>
                <w:sz w:val="18"/>
              </w:rPr>
            </w:pPr>
            <w:r>
              <w:rPr>
                <w:b/>
                <w:sz w:val="18"/>
              </w:rPr>
              <w:t>Budgetary</w:t>
            </w:r>
            <w:r>
              <w:rPr>
                <w:b/>
                <w:spacing w:val="-4"/>
                <w:sz w:val="18"/>
              </w:rPr>
              <w:t> </w:t>
            </w:r>
            <w:r>
              <w:rPr>
                <w:b/>
                <w:sz w:val="18"/>
              </w:rPr>
              <w:t>Effects</w:t>
            </w:r>
            <w:r>
              <w:rPr>
                <w:b/>
                <w:spacing w:val="-2"/>
                <w:sz w:val="18"/>
              </w:rPr>
              <w:t> </w:t>
            </w:r>
            <w:r>
              <w:rPr>
                <w:b/>
                <w:sz w:val="18"/>
              </w:rPr>
              <w:t>(Billions</w:t>
            </w:r>
            <w:r>
              <w:rPr>
                <w:b/>
                <w:spacing w:val="-3"/>
                <w:sz w:val="18"/>
              </w:rPr>
              <w:t> </w:t>
            </w:r>
            <w:r>
              <w:rPr>
                <w:b/>
                <w:sz w:val="18"/>
              </w:rPr>
              <w:t>of</w:t>
            </w:r>
            <w:r>
              <w:rPr>
                <w:b/>
                <w:spacing w:val="-4"/>
                <w:sz w:val="18"/>
              </w:rPr>
              <w:t> </w:t>
            </w:r>
            <w:r>
              <w:rPr>
                <w:b/>
                <w:spacing w:val="-2"/>
                <w:sz w:val="18"/>
              </w:rPr>
              <w:t>dollars)</w:t>
            </w:r>
          </w:p>
        </w:tc>
      </w:tr>
      <w:tr>
        <w:trPr>
          <w:trHeight w:val="327" w:hRule="atLeast"/>
        </w:trPr>
        <w:tc>
          <w:tcPr>
            <w:tcW w:w="2622" w:type="dxa"/>
          </w:tcPr>
          <w:p>
            <w:pPr>
              <w:pStyle w:val="TableParagraph"/>
              <w:spacing w:line="308" w:lineRule="exact"/>
              <w:ind w:left="57"/>
              <w:rPr>
                <w:sz w:val="12"/>
              </w:rPr>
            </w:pPr>
            <w:r>
              <w:rPr>
                <w:sz w:val="18"/>
              </w:rPr>
              <w:t>Reduction</w:t>
            </w:r>
            <w:r>
              <w:rPr>
                <w:spacing w:val="-3"/>
                <w:sz w:val="18"/>
              </w:rPr>
              <w:t> </w:t>
            </w:r>
            <w:r>
              <w:rPr>
                <w:sz w:val="18"/>
              </w:rPr>
              <w:t>in</w:t>
            </w:r>
            <w:r>
              <w:rPr>
                <w:spacing w:val="-3"/>
                <w:sz w:val="18"/>
              </w:rPr>
              <w:t> </w:t>
            </w:r>
            <w:r>
              <w:rPr>
                <w:sz w:val="18"/>
              </w:rPr>
              <w:t>the</w:t>
            </w:r>
            <w:r>
              <w:rPr>
                <w:spacing w:val="-3"/>
                <w:sz w:val="18"/>
              </w:rPr>
              <w:t> </w:t>
            </w:r>
            <w:r>
              <w:rPr>
                <w:sz w:val="18"/>
              </w:rPr>
              <w:t>Federal</w:t>
            </w:r>
            <w:r>
              <w:rPr>
                <w:spacing w:val="-2"/>
                <w:sz w:val="18"/>
              </w:rPr>
              <w:t> Deficit</w:t>
            </w:r>
            <w:r>
              <w:rPr>
                <w:spacing w:val="-2"/>
                <w:position w:val="5"/>
                <w:sz w:val="12"/>
              </w:rPr>
              <w:t>d</w:t>
            </w:r>
          </w:p>
        </w:tc>
        <w:tc>
          <w:tcPr>
            <w:tcW w:w="1033" w:type="dxa"/>
          </w:tcPr>
          <w:p>
            <w:pPr>
              <w:pStyle w:val="TableParagraph"/>
              <w:spacing w:line="308" w:lineRule="exact"/>
              <w:ind w:left="351"/>
              <w:rPr>
                <w:sz w:val="18"/>
              </w:rPr>
            </w:pPr>
            <w:r>
              <w:rPr>
                <w:spacing w:val="-5"/>
                <w:sz w:val="18"/>
              </w:rPr>
              <w:t>710</w:t>
            </w:r>
          </w:p>
        </w:tc>
        <w:tc>
          <w:tcPr>
            <w:tcW w:w="1052" w:type="dxa"/>
          </w:tcPr>
          <w:p>
            <w:pPr>
              <w:pStyle w:val="TableParagraph"/>
              <w:spacing w:line="308" w:lineRule="exact"/>
              <w:ind w:left="264" w:right="169"/>
              <w:jc w:val="center"/>
              <w:rPr>
                <w:sz w:val="18"/>
              </w:rPr>
            </w:pPr>
            <w:r>
              <w:rPr>
                <w:spacing w:val="-5"/>
                <w:sz w:val="18"/>
              </w:rPr>
              <w:t>668</w:t>
            </w:r>
          </w:p>
        </w:tc>
        <w:tc>
          <w:tcPr>
            <w:tcW w:w="1268" w:type="dxa"/>
          </w:tcPr>
          <w:p>
            <w:pPr>
              <w:pStyle w:val="TableParagraph"/>
              <w:spacing w:line="308" w:lineRule="exact"/>
              <w:ind w:right="453"/>
              <w:jc w:val="right"/>
              <w:rPr>
                <w:sz w:val="18"/>
              </w:rPr>
            </w:pPr>
            <w:r>
              <w:rPr>
                <w:spacing w:val="-5"/>
                <w:sz w:val="18"/>
              </w:rPr>
              <w:t>682</w:t>
            </w:r>
          </w:p>
        </w:tc>
        <w:tc>
          <w:tcPr>
            <w:tcW w:w="1169" w:type="dxa"/>
          </w:tcPr>
          <w:p>
            <w:pPr>
              <w:pStyle w:val="TableParagraph"/>
              <w:spacing w:line="308" w:lineRule="exact"/>
              <w:ind w:right="453"/>
              <w:jc w:val="right"/>
              <w:rPr>
                <w:sz w:val="18"/>
              </w:rPr>
            </w:pPr>
            <w:r>
              <w:rPr>
                <w:spacing w:val="-5"/>
                <w:sz w:val="18"/>
              </w:rPr>
              <w:t>225</w:t>
            </w:r>
          </w:p>
        </w:tc>
        <w:tc>
          <w:tcPr>
            <w:tcW w:w="1051" w:type="dxa"/>
          </w:tcPr>
          <w:p>
            <w:pPr>
              <w:pStyle w:val="TableParagraph"/>
              <w:spacing w:line="308" w:lineRule="exact"/>
              <w:ind w:right="421"/>
              <w:jc w:val="right"/>
              <w:rPr>
                <w:sz w:val="18"/>
              </w:rPr>
            </w:pPr>
            <w:r>
              <w:rPr>
                <w:spacing w:val="-5"/>
                <w:sz w:val="18"/>
              </w:rPr>
              <w:t>162</w:t>
            </w:r>
          </w:p>
        </w:tc>
      </w:tr>
      <w:tr>
        <w:trPr>
          <w:trHeight w:val="527" w:hRule="atLeast"/>
        </w:trPr>
        <w:tc>
          <w:tcPr>
            <w:tcW w:w="2622" w:type="dxa"/>
          </w:tcPr>
          <w:p>
            <w:pPr>
              <w:pStyle w:val="TableParagraph"/>
              <w:spacing w:line="117" w:lineRule="auto" w:before="56"/>
              <w:ind w:left="57" w:right="260"/>
              <w:rPr>
                <w:sz w:val="18"/>
              </w:rPr>
            </w:pPr>
            <w:r>
              <w:rPr>
                <w:sz w:val="18"/>
              </w:rPr>
              <w:t>Gross</w:t>
            </w:r>
            <w:r>
              <w:rPr>
                <w:spacing w:val="-11"/>
                <w:sz w:val="18"/>
              </w:rPr>
              <w:t> </w:t>
            </w:r>
            <w:r>
              <w:rPr>
                <w:sz w:val="18"/>
              </w:rPr>
              <w:t>Reduction</w:t>
            </w:r>
            <w:r>
              <w:rPr>
                <w:spacing w:val="-10"/>
                <w:sz w:val="18"/>
              </w:rPr>
              <w:t> </w:t>
            </w:r>
            <w:r>
              <w:rPr>
                <w:sz w:val="18"/>
              </w:rPr>
              <w:t>in</w:t>
            </w:r>
            <w:r>
              <w:rPr>
                <w:spacing w:val="-10"/>
                <w:sz w:val="18"/>
              </w:rPr>
              <w:t> </w:t>
            </w:r>
            <w:r>
              <w:rPr>
                <w:sz w:val="18"/>
              </w:rPr>
              <w:t>Federal Medicaid</w:t>
            </w:r>
            <w:r>
              <w:rPr>
                <w:spacing w:val="-2"/>
                <w:sz w:val="18"/>
              </w:rPr>
              <w:t> </w:t>
            </w:r>
            <w:r>
              <w:rPr>
                <w:sz w:val="18"/>
              </w:rPr>
              <w:t>Outlays</w:t>
            </w:r>
          </w:p>
        </w:tc>
        <w:tc>
          <w:tcPr>
            <w:tcW w:w="1033" w:type="dxa"/>
          </w:tcPr>
          <w:p>
            <w:pPr>
              <w:pStyle w:val="TableParagraph"/>
              <w:spacing w:line="421" w:lineRule="exact" w:before="87"/>
              <w:ind w:left="351"/>
              <w:rPr>
                <w:sz w:val="18"/>
              </w:rPr>
            </w:pPr>
            <w:r>
              <w:rPr>
                <w:spacing w:val="-5"/>
                <w:sz w:val="18"/>
              </w:rPr>
              <w:t>860</w:t>
            </w:r>
          </w:p>
        </w:tc>
        <w:tc>
          <w:tcPr>
            <w:tcW w:w="1052" w:type="dxa"/>
          </w:tcPr>
          <w:p>
            <w:pPr>
              <w:pStyle w:val="TableParagraph"/>
              <w:spacing w:line="421" w:lineRule="exact" w:before="87"/>
              <w:ind w:left="264" w:right="169"/>
              <w:jc w:val="center"/>
              <w:rPr>
                <w:sz w:val="18"/>
              </w:rPr>
            </w:pPr>
            <w:r>
              <w:rPr>
                <w:spacing w:val="-5"/>
                <w:sz w:val="18"/>
              </w:rPr>
              <w:t>880</w:t>
            </w:r>
          </w:p>
        </w:tc>
        <w:tc>
          <w:tcPr>
            <w:tcW w:w="1268" w:type="dxa"/>
          </w:tcPr>
          <w:p>
            <w:pPr>
              <w:pStyle w:val="TableParagraph"/>
              <w:spacing w:line="421" w:lineRule="exact" w:before="87"/>
              <w:ind w:right="453"/>
              <w:jc w:val="right"/>
              <w:rPr>
                <w:sz w:val="18"/>
              </w:rPr>
            </w:pPr>
            <w:r>
              <w:rPr>
                <w:spacing w:val="-5"/>
                <w:sz w:val="18"/>
              </w:rPr>
              <w:t>792</w:t>
            </w:r>
          </w:p>
        </w:tc>
        <w:tc>
          <w:tcPr>
            <w:tcW w:w="1169" w:type="dxa"/>
          </w:tcPr>
          <w:p>
            <w:pPr>
              <w:pStyle w:val="TableParagraph"/>
              <w:spacing w:line="421" w:lineRule="exact" w:before="87"/>
              <w:ind w:right="453"/>
              <w:jc w:val="right"/>
              <w:rPr>
                <w:sz w:val="18"/>
              </w:rPr>
            </w:pPr>
            <w:r>
              <w:rPr>
                <w:spacing w:val="-5"/>
                <w:sz w:val="18"/>
              </w:rPr>
              <w:t>298</w:t>
            </w:r>
          </w:p>
        </w:tc>
        <w:tc>
          <w:tcPr>
            <w:tcW w:w="1051" w:type="dxa"/>
          </w:tcPr>
          <w:p>
            <w:pPr>
              <w:pStyle w:val="TableParagraph"/>
              <w:spacing w:line="421" w:lineRule="exact" w:before="87"/>
              <w:ind w:right="421"/>
              <w:jc w:val="right"/>
              <w:rPr>
                <w:sz w:val="18"/>
              </w:rPr>
            </w:pPr>
            <w:r>
              <w:rPr>
                <w:spacing w:val="-5"/>
                <w:sz w:val="18"/>
              </w:rPr>
              <w:t>170</w:t>
            </w:r>
          </w:p>
        </w:tc>
      </w:tr>
      <w:tr>
        <w:trPr>
          <w:trHeight w:val="529" w:hRule="atLeast"/>
        </w:trPr>
        <w:tc>
          <w:tcPr>
            <w:tcW w:w="2622" w:type="dxa"/>
          </w:tcPr>
          <w:p>
            <w:pPr>
              <w:pStyle w:val="TableParagraph"/>
              <w:spacing w:line="117" w:lineRule="auto" w:before="56"/>
              <w:ind w:left="376" w:right="260"/>
              <w:rPr>
                <w:sz w:val="18"/>
              </w:rPr>
            </w:pPr>
            <w:r>
              <w:rPr>
                <w:sz w:val="18"/>
              </w:rPr>
              <w:t>Federal</w:t>
            </w:r>
            <w:r>
              <w:rPr>
                <w:spacing w:val="-11"/>
                <w:sz w:val="18"/>
              </w:rPr>
              <w:t> </w:t>
            </w:r>
            <w:r>
              <w:rPr>
                <w:sz w:val="18"/>
              </w:rPr>
              <w:t>Reduction</w:t>
            </w:r>
            <w:r>
              <w:rPr>
                <w:spacing w:val="-10"/>
                <w:sz w:val="18"/>
              </w:rPr>
              <w:t> </w:t>
            </w:r>
            <w:r>
              <w:rPr>
                <w:sz w:val="18"/>
              </w:rPr>
              <w:t>Before State</w:t>
            </w:r>
            <w:r>
              <w:rPr>
                <w:spacing w:val="-2"/>
                <w:sz w:val="18"/>
              </w:rPr>
              <w:t> </w:t>
            </w:r>
            <w:r>
              <w:rPr>
                <w:sz w:val="18"/>
              </w:rPr>
              <w:t>Response</w:t>
            </w:r>
          </w:p>
        </w:tc>
        <w:tc>
          <w:tcPr>
            <w:tcW w:w="1033" w:type="dxa"/>
          </w:tcPr>
          <w:p>
            <w:pPr>
              <w:pStyle w:val="TableParagraph"/>
              <w:spacing w:line="422" w:lineRule="exact" w:before="87"/>
              <w:ind w:left="351"/>
              <w:rPr>
                <w:sz w:val="18"/>
              </w:rPr>
            </w:pPr>
            <w:r>
              <w:rPr>
                <w:spacing w:val="-5"/>
                <w:sz w:val="18"/>
              </w:rPr>
              <w:t>516</w:t>
            </w:r>
          </w:p>
        </w:tc>
        <w:tc>
          <w:tcPr>
            <w:tcW w:w="1052" w:type="dxa"/>
          </w:tcPr>
          <w:p>
            <w:pPr>
              <w:pStyle w:val="TableParagraph"/>
              <w:spacing w:line="422" w:lineRule="exact" w:before="87"/>
              <w:ind w:left="264"/>
              <w:jc w:val="center"/>
              <w:rPr>
                <w:sz w:val="18"/>
              </w:rPr>
            </w:pPr>
            <w:r>
              <w:rPr>
                <w:spacing w:val="-10"/>
                <w:sz w:val="18"/>
              </w:rPr>
              <w:t>0</w:t>
            </w:r>
          </w:p>
        </w:tc>
        <w:tc>
          <w:tcPr>
            <w:tcW w:w="1268" w:type="dxa"/>
          </w:tcPr>
          <w:p>
            <w:pPr>
              <w:pStyle w:val="TableParagraph"/>
              <w:spacing w:line="422" w:lineRule="exact" w:before="87"/>
              <w:ind w:right="453"/>
              <w:jc w:val="right"/>
              <w:rPr>
                <w:sz w:val="18"/>
              </w:rPr>
            </w:pPr>
            <w:r>
              <w:rPr>
                <w:spacing w:val="-5"/>
                <w:sz w:val="18"/>
              </w:rPr>
              <w:t>534</w:t>
            </w:r>
          </w:p>
        </w:tc>
        <w:tc>
          <w:tcPr>
            <w:tcW w:w="1169" w:type="dxa"/>
          </w:tcPr>
          <w:p>
            <w:pPr>
              <w:pStyle w:val="TableParagraph"/>
              <w:spacing w:line="422" w:lineRule="exact" w:before="87"/>
              <w:ind w:right="453"/>
              <w:jc w:val="right"/>
              <w:rPr>
                <w:sz w:val="18"/>
              </w:rPr>
            </w:pPr>
            <w:r>
              <w:rPr>
                <w:spacing w:val="-5"/>
                <w:sz w:val="18"/>
              </w:rPr>
              <w:t>146</w:t>
            </w:r>
          </w:p>
        </w:tc>
        <w:tc>
          <w:tcPr>
            <w:tcW w:w="1051" w:type="dxa"/>
          </w:tcPr>
          <w:p>
            <w:pPr>
              <w:pStyle w:val="TableParagraph"/>
              <w:spacing w:line="422" w:lineRule="exact" w:before="87"/>
              <w:ind w:right="418"/>
              <w:jc w:val="right"/>
              <w:rPr>
                <w:sz w:val="18"/>
              </w:rPr>
            </w:pPr>
            <w:r>
              <w:rPr>
                <w:spacing w:val="-10"/>
                <w:sz w:val="18"/>
              </w:rPr>
              <w:t>0</w:t>
            </w:r>
          </w:p>
        </w:tc>
      </w:tr>
      <w:tr>
        <w:trPr>
          <w:trHeight w:val="942" w:hRule="atLeast"/>
        </w:trPr>
        <w:tc>
          <w:tcPr>
            <w:tcW w:w="2622" w:type="dxa"/>
          </w:tcPr>
          <w:p>
            <w:pPr>
              <w:pStyle w:val="TableParagraph"/>
              <w:spacing w:line="117" w:lineRule="auto" w:before="58"/>
              <w:ind w:left="376" w:right="260"/>
              <w:rPr>
                <w:sz w:val="18"/>
              </w:rPr>
            </w:pPr>
            <w:r>
              <w:rPr>
                <w:sz w:val="18"/>
              </w:rPr>
              <w:t>Additional</w:t>
            </w:r>
            <w:r>
              <w:rPr>
                <w:spacing w:val="-11"/>
                <w:sz w:val="18"/>
              </w:rPr>
              <w:t> </w:t>
            </w:r>
            <w:r>
              <w:rPr>
                <w:sz w:val="18"/>
              </w:rPr>
              <w:t>Federal</w:t>
            </w:r>
            <w:r>
              <w:rPr>
                <w:spacing w:val="-10"/>
                <w:sz w:val="18"/>
              </w:rPr>
              <w:t> </w:t>
            </w:r>
            <w:r>
              <w:rPr>
                <w:sz w:val="18"/>
              </w:rPr>
              <w:t>Reduction From States’ Reducing Benefits and Provider </w:t>
            </w:r>
            <w:r>
              <w:rPr>
                <w:spacing w:val="-2"/>
                <w:sz w:val="18"/>
              </w:rPr>
              <w:t>Payments</w:t>
            </w:r>
          </w:p>
        </w:tc>
        <w:tc>
          <w:tcPr>
            <w:tcW w:w="1033" w:type="dxa"/>
          </w:tcPr>
          <w:p>
            <w:pPr>
              <w:pStyle w:val="TableParagraph"/>
              <w:rPr>
                <w:rFonts w:ascii="Times New Roman"/>
                <w:sz w:val="18"/>
              </w:rPr>
            </w:pPr>
          </w:p>
          <w:p>
            <w:pPr>
              <w:pStyle w:val="TableParagraph"/>
              <w:spacing w:before="86"/>
              <w:rPr>
                <w:rFonts w:ascii="Times New Roman"/>
                <w:sz w:val="18"/>
              </w:rPr>
            </w:pPr>
          </w:p>
          <w:p>
            <w:pPr>
              <w:pStyle w:val="TableParagraph"/>
              <w:spacing w:line="421" w:lineRule="exact" w:before="1"/>
              <w:ind w:left="351"/>
              <w:rPr>
                <w:sz w:val="18"/>
              </w:rPr>
            </w:pPr>
            <w:r>
              <w:rPr>
                <w:spacing w:val="-5"/>
                <w:sz w:val="18"/>
              </w:rPr>
              <w:t>142</w:t>
            </w:r>
          </w:p>
        </w:tc>
        <w:tc>
          <w:tcPr>
            <w:tcW w:w="1052" w:type="dxa"/>
          </w:tcPr>
          <w:p>
            <w:pPr>
              <w:pStyle w:val="TableParagraph"/>
              <w:rPr>
                <w:rFonts w:ascii="Times New Roman"/>
                <w:sz w:val="18"/>
              </w:rPr>
            </w:pPr>
          </w:p>
          <w:p>
            <w:pPr>
              <w:pStyle w:val="TableParagraph"/>
              <w:spacing w:before="86"/>
              <w:rPr>
                <w:rFonts w:ascii="Times New Roman"/>
                <w:sz w:val="18"/>
              </w:rPr>
            </w:pPr>
          </w:p>
          <w:p>
            <w:pPr>
              <w:pStyle w:val="TableParagraph"/>
              <w:spacing w:line="421" w:lineRule="exact" w:before="1"/>
              <w:ind w:left="264" w:right="169"/>
              <w:jc w:val="center"/>
              <w:rPr>
                <w:sz w:val="18"/>
              </w:rPr>
            </w:pPr>
            <w:r>
              <w:rPr>
                <w:spacing w:val="-5"/>
                <w:sz w:val="18"/>
              </w:rPr>
              <w:t>408</w:t>
            </w:r>
          </w:p>
        </w:tc>
        <w:tc>
          <w:tcPr>
            <w:tcW w:w="1268" w:type="dxa"/>
          </w:tcPr>
          <w:p>
            <w:pPr>
              <w:pStyle w:val="TableParagraph"/>
              <w:rPr>
                <w:rFonts w:ascii="Times New Roman"/>
                <w:sz w:val="18"/>
              </w:rPr>
            </w:pPr>
          </w:p>
          <w:p>
            <w:pPr>
              <w:pStyle w:val="TableParagraph"/>
              <w:spacing w:before="86"/>
              <w:rPr>
                <w:rFonts w:ascii="Times New Roman"/>
                <w:sz w:val="18"/>
              </w:rPr>
            </w:pPr>
          </w:p>
          <w:p>
            <w:pPr>
              <w:pStyle w:val="TableParagraph"/>
              <w:spacing w:line="421" w:lineRule="exact" w:before="1"/>
              <w:ind w:right="450"/>
              <w:jc w:val="right"/>
              <w:rPr>
                <w:sz w:val="18"/>
              </w:rPr>
            </w:pPr>
            <w:r>
              <w:rPr>
                <w:spacing w:val="-10"/>
                <w:sz w:val="18"/>
              </w:rPr>
              <w:t>0</w:t>
            </w:r>
          </w:p>
        </w:tc>
        <w:tc>
          <w:tcPr>
            <w:tcW w:w="1169" w:type="dxa"/>
          </w:tcPr>
          <w:p>
            <w:pPr>
              <w:pStyle w:val="TableParagraph"/>
              <w:rPr>
                <w:rFonts w:ascii="Times New Roman"/>
                <w:sz w:val="18"/>
              </w:rPr>
            </w:pPr>
          </w:p>
          <w:p>
            <w:pPr>
              <w:pStyle w:val="TableParagraph"/>
              <w:spacing w:before="86"/>
              <w:rPr>
                <w:rFonts w:ascii="Times New Roman"/>
                <w:sz w:val="18"/>
              </w:rPr>
            </w:pPr>
          </w:p>
          <w:p>
            <w:pPr>
              <w:pStyle w:val="TableParagraph"/>
              <w:spacing w:line="421" w:lineRule="exact" w:before="1"/>
              <w:ind w:right="450"/>
              <w:jc w:val="right"/>
              <w:rPr>
                <w:sz w:val="18"/>
              </w:rPr>
            </w:pPr>
            <w:r>
              <w:rPr>
                <w:spacing w:val="-10"/>
                <w:sz w:val="18"/>
              </w:rPr>
              <w:t>0</w:t>
            </w:r>
          </w:p>
        </w:tc>
        <w:tc>
          <w:tcPr>
            <w:tcW w:w="1051" w:type="dxa"/>
          </w:tcPr>
          <w:p>
            <w:pPr>
              <w:pStyle w:val="TableParagraph"/>
              <w:rPr>
                <w:rFonts w:ascii="Times New Roman"/>
                <w:sz w:val="18"/>
              </w:rPr>
            </w:pPr>
          </w:p>
          <w:p>
            <w:pPr>
              <w:pStyle w:val="TableParagraph"/>
              <w:spacing w:before="86"/>
              <w:rPr>
                <w:rFonts w:ascii="Times New Roman"/>
                <w:sz w:val="18"/>
              </w:rPr>
            </w:pPr>
          </w:p>
          <w:p>
            <w:pPr>
              <w:pStyle w:val="TableParagraph"/>
              <w:spacing w:line="421" w:lineRule="exact" w:before="1"/>
              <w:ind w:right="418"/>
              <w:jc w:val="right"/>
              <w:rPr>
                <w:sz w:val="18"/>
              </w:rPr>
            </w:pPr>
            <w:r>
              <w:rPr>
                <w:spacing w:val="-10"/>
                <w:sz w:val="18"/>
              </w:rPr>
              <w:t>0</w:t>
            </w:r>
          </w:p>
        </w:tc>
      </w:tr>
      <w:tr>
        <w:trPr>
          <w:trHeight w:val="735" w:hRule="atLeast"/>
        </w:trPr>
        <w:tc>
          <w:tcPr>
            <w:tcW w:w="2622" w:type="dxa"/>
          </w:tcPr>
          <w:p>
            <w:pPr>
              <w:pStyle w:val="TableParagraph"/>
              <w:spacing w:line="117" w:lineRule="auto" w:before="56"/>
              <w:ind w:left="376" w:right="260"/>
              <w:rPr>
                <w:sz w:val="18"/>
              </w:rPr>
            </w:pPr>
            <w:r>
              <w:rPr>
                <w:sz w:val="18"/>
              </w:rPr>
              <w:t>Additional</w:t>
            </w:r>
            <w:r>
              <w:rPr>
                <w:spacing w:val="-11"/>
                <w:sz w:val="18"/>
              </w:rPr>
              <w:t> </w:t>
            </w:r>
            <w:r>
              <w:rPr>
                <w:sz w:val="18"/>
              </w:rPr>
              <w:t>Federal</w:t>
            </w:r>
            <w:r>
              <w:rPr>
                <w:spacing w:val="-10"/>
                <w:sz w:val="18"/>
              </w:rPr>
              <w:t> </w:t>
            </w:r>
            <w:r>
              <w:rPr>
                <w:sz w:val="18"/>
              </w:rPr>
              <w:t>Reduction From States’ Reducing </w:t>
            </w:r>
            <w:r>
              <w:rPr>
                <w:spacing w:val="-2"/>
                <w:sz w:val="18"/>
              </w:rPr>
              <w:t>Enrollment</w:t>
            </w:r>
          </w:p>
        </w:tc>
        <w:tc>
          <w:tcPr>
            <w:tcW w:w="1033" w:type="dxa"/>
          </w:tcPr>
          <w:p>
            <w:pPr>
              <w:pStyle w:val="TableParagraph"/>
              <w:spacing w:before="86"/>
              <w:rPr>
                <w:rFonts w:ascii="Times New Roman"/>
                <w:sz w:val="18"/>
              </w:rPr>
            </w:pPr>
          </w:p>
          <w:p>
            <w:pPr>
              <w:pStyle w:val="TableParagraph"/>
              <w:spacing w:line="422" w:lineRule="exact"/>
              <w:ind w:left="351"/>
              <w:rPr>
                <w:sz w:val="18"/>
              </w:rPr>
            </w:pPr>
            <w:r>
              <w:rPr>
                <w:spacing w:val="-5"/>
                <w:sz w:val="18"/>
              </w:rPr>
              <w:t>202</w:t>
            </w:r>
          </w:p>
        </w:tc>
        <w:tc>
          <w:tcPr>
            <w:tcW w:w="1052" w:type="dxa"/>
          </w:tcPr>
          <w:p>
            <w:pPr>
              <w:pStyle w:val="TableParagraph"/>
              <w:spacing w:before="86"/>
              <w:rPr>
                <w:rFonts w:ascii="Times New Roman"/>
                <w:sz w:val="18"/>
              </w:rPr>
            </w:pPr>
          </w:p>
          <w:p>
            <w:pPr>
              <w:pStyle w:val="TableParagraph"/>
              <w:spacing w:line="422" w:lineRule="exact"/>
              <w:ind w:left="264" w:right="169"/>
              <w:jc w:val="center"/>
              <w:rPr>
                <w:sz w:val="18"/>
              </w:rPr>
            </w:pPr>
            <w:r>
              <w:rPr>
                <w:spacing w:val="-5"/>
                <w:sz w:val="18"/>
              </w:rPr>
              <w:t>472</w:t>
            </w:r>
          </w:p>
        </w:tc>
        <w:tc>
          <w:tcPr>
            <w:tcW w:w="1268" w:type="dxa"/>
          </w:tcPr>
          <w:p>
            <w:pPr>
              <w:pStyle w:val="TableParagraph"/>
              <w:spacing w:before="86"/>
              <w:rPr>
                <w:rFonts w:ascii="Times New Roman"/>
                <w:sz w:val="18"/>
              </w:rPr>
            </w:pPr>
          </w:p>
          <w:p>
            <w:pPr>
              <w:pStyle w:val="TableParagraph"/>
              <w:spacing w:line="422" w:lineRule="exact"/>
              <w:ind w:right="453"/>
              <w:jc w:val="right"/>
              <w:rPr>
                <w:sz w:val="18"/>
              </w:rPr>
            </w:pPr>
            <w:r>
              <w:rPr>
                <w:spacing w:val="-5"/>
                <w:sz w:val="18"/>
              </w:rPr>
              <w:t>258</w:t>
            </w:r>
          </w:p>
        </w:tc>
        <w:tc>
          <w:tcPr>
            <w:tcW w:w="1169" w:type="dxa"/>
          </w:tcPr>
          <w:p>
            <w:pPr>
              <w:pStyle w:val="TableParagraph"/>
              <w:spacing w:before="86"/>
              <w:rPr>
                <w:rFonts w:ascii="Times New Roman"/>
                <w:sz w:val="18"/>
              </w:rPr>
            </w:pPr>
          </w:p>
          <w:p>
            <w:pPr>
              <w:pStyle w:val="TableParagraph"/>
              <w:spacing w:line="422" w:lineRule="exact"/>
              <w:ind w:right="453"/>
              <w:jc w:val="right"/>
              <w:rPr>
                <w:sz w:val="18"/>
              </w:rPr>
            </w:pPr>
            <w:r>
              <w:rPr>
                <w:spacing w:val="-5"/>
                <w:sz w:val="18"/>
              </w:rPr>
              <w:t>152</w:t>
            </w:r>
          </w:p>
        </w:tc>
        <w:tc>
          <w:tcPr>
            <w:tcW w:w="1051" w:type="dxa"/>
          </w:tcPr>
          <w:p>
            <w:pPr>
              <w:pStyle w:val="TableParagraph"/>
              <w:spacing w:before="86"/>
              <w:rPr>
                <w:rFonts w:ascii="Times New Roman"/>
                <w:sz w:val="18"/>
              </w:rPr>
            </w:pPr>
          </w:p>
          <w:p>
            <w:pPr>
              <w:pStyle w:val="TableParagraph"/>
              <w:spacing w:line="422" w:lineRule="exact"/>
              <w:ind w:right="421"/>
              <w:jc w:val="right"/>
              <w:rPr>
                <w:sz w:val="18"/>
              </w:rPr>
            </w:pPr>
            <w:r>
              <w:rPr>
                <w:spacing w:val="-5"/>
                <w:sz w:val="18"/>
              </w:rPr>
              <w:t>170</w:t>
            </w:r>
          </w:p>
        </w:tc>
      </w:tr>
      <w:tr>
        <w:trPr>
          <w:trHeight w:val="533" w:hRule="atLeast"/>
        </w:trPr>
        <w:tc>
          <w:tcPr>
            <w:tcW w:w="8195" w:type="dxa"/>
            <w:gridSpan w:val="6"/>
          </w:tcPr>
          <w:p>
            <w:pPr>
              <w:pStyle w:val="TableParagraph"/>
              <w:spacing w:line="117" w:lineRule="auto" w:before="58"/>
              <w:ind w:left="57" w:right="4898"/>
              <w:rPr>
                <w:b/>
                <w:sz w:val="18"/>
              </w:rPr>
            </w:pPr>
            <w:r>
              <w:rPr>
                <w:b/>
                <w:sz w:val="18"/>
              </w:rPr>
              <w:t>Change</w:t>
            </w:r>
            <w:r>
              <w:rPr>
                <w:b/>
                <w:spacing w:val="-7"/>
                <w:sz w:val="18"/>
              </w:rPr>
              <w:t> </w:t>
            </w:r>
            <w:r>
              <w:rPr>
                <w:b/>
                <w:sz w:val="18"/>
              </w:rPr>
              <w:t>in</w:t>
            </w:r>
            <w:r>
              <w:rPr>
                <w:b/>
                <w:spacing w:val="-6"/>
                <w:sz w:val="18"/>
              </w:rPr>
              <w:t> </w:t>
            </w:r>
            <w:r>
              <w:rPr>
                <w:b/>
                <w:sz w:val="18"/>
              </w:rPr>
              <w:t>Coverage</w:t>
            </w:r>
            <w:r>
              <w:rPr>
                <w:b/>
                <w:spacing w:val="-7"/>
                <w:sz w:val="18"/>
              </w:rPr>
              <w:t> </w:t>
            </w:r>
            <w:r>
              <w:rPr>
                <w:b/>
                <w:sz w:val="18"/>
              </w:rPr>
              <w:t>in</w:t>
            </w:r>
            <w:r>
              <w:rPr>
                <w:b/>
                <w:spacing w:val="-6"/>
                <w:sz w:val="18"/>
              </w:rPr>
              <w:t> </w:t>
            </w:r>
            <w:r>
              <w:rPr>
                <w:b/>
                <w:sz w:val="18"/>
              </w:rPr>
              <w:t>2034</w:t>
            </w:r>
            <w:r>
              <w:rPr>
                <w:b/>
                <w:spacing w:val="-7"/>
                <w:sz w:val="18"/>
              </w:rPr>
              <w:t> </w:t>
            </w:r>
            <w:r>
              <w:rPr>
                <w:b/>
                <w:sz w:val="18"/>
              </w:rPr>
              <w:t>(Millions</w:t>
            </w:r>
            <w:r>
              <w:rPr>
                <w:b/>
                <w:spacing w:val="-7"/>
                <w:sz w:val="18"/>
              </w:rPr>
              <w:t> </w:t>
            </w:r>
            <w:r>
              <w:rPr>
                <w:b/>
                <w:sz w:val="18"/>
              </w:rPr>
              <w:t>of </w:t>
            </w:r>
            <w:r>
              <w:rPr>
                <w:b/>
                <w:spacing w:val="-2"/>
                <w:sz w:val="18"/>
              </w:rPr>
              <w:t>people)</w:t>
            </w:r>
          </w:p>
        </w:tc>
      </w:tr>
      <w:tr>
        <w:trPr>
          <w:trHeight w:val="332" w:hRule="atLeast"/>
        </w:trPr>
        <w:tc>
          <w:tcPr>
            <w:tcW w:w="2622" w:type="dxa"/>
          </w:tcPr>
          <w:p>
            <w:pPr>
              <w:pStyle w:val="TableParagraph"/>
              <w:spacing w:line="308" w:lineRule="exact"/>
              <w:ind w:left="57"/>
              <w:rPr>
                <w:sz w:val="18"/>
              </w:rPr>
            </w:pPr>
            <w:r>
              <w:rPr>
                <w:sz w:val="18"/>
              </w:rPr>
              <w:t>Reduction</w:t>
            </w:r>
            <w:r>
              <w:rPr>
                <w:spacing w:val="-4"/>
                <w:sz w:val="18"/>
              </w:rPr>
              <w:t> </w:t>
            </w:r>
            <w:r>
              <w:rPr>
                <w:sz w:val="18"/>
              </w:rPr>
              <w:t>in</w:t>
            </w:r>
            <w:r>
              <w:rPr>
                <w:spacing w:val="-4"/>
                <w:sz w:val="18"/>
              </w:rPr>
              <w:t> </w:t>
            </w:r>
            <w:r>
              <w:rPr>
                <w:sz w:val="18"/>
              </w:rPr>
              <w:t>Medicaid</w:t>
            </w:r>
            <w:r>
              <w:rPr>
                <w:spacing w:val="-3"/>
                <w:sz w:val="18"/>
              </w:rPr>
              <w:t> </w:t>
            </w:r>
            <w:r>
              <w:rPr>
                <w:spacing w:val="-2"/>
                <w:sz w:val="18"/>
              </w:rPr>
              <w:t>Coverage</w:t>
            </w:r>
          </w:p>
        </w:tc>
        <w:tc>
          <w:tcPr>
            <w:tcW w:w="1033" w:type="dxa"/>
          </w:tcPr>
          <w:p>
            <w:pPr>
              <w:pStyle w:val="TableParagraph"/>
              <w:spacing w:line="308" w:lineRule="exact"/>
              <w:ind w:left="392"/>
              <w:rPr>
                <w:sz w:val="18"/>
              </w:rPr>
            </w:pPr>
            <w:r>
              <w:rPr>
                <w:spacing w:val="-5"/>
                <w:sz w:val="18"/>
              </w:rPr>
              <w:t>5.5</w:t>
            </w:r>
          </w:p>
        </w:tc>
        <w:tc>
          <w:tcPr>
            <w:tcW w:w="1052" w:type="dxa"/>
          </w:tcPr>
          <w:p>
            <w:pPr>
              <w:pStyle w:val="TableParagraph"/>
              <w:spacing w:line="308" w:lineRule="exact"/>
              <w:ind w:left="264" w:right="128"/>
              <w:jc w:val="center"/>
              <w:rPr>
                <w:sz w:val="18"/>
              </w:rPr>
            </w:pPr>
            <w:r>
              <w:rPr>
                <w:spacing w:val="-5"/>
                <w:sz w:val="18"/>
              </w:rPr>
              <w:t>8.6</w:t>
            </w:r>
          </w:p>
        </w:tc>
        <w:tc>
          <w:tcPr>
            <w:tcW w:w="1268" w:type="dxa"/>
          </w:tcPr>
          <w:p>
            <w:pPr>
              <w:pStyle w:val="TableParagraph"/>
              <w:spacing w:line="308" w:lineRule="exact"/>
              <w:ind w:right="452"/>
              <w:jc w:val="right"/>
              <w:rPr>
                <w:sz w:val="18"/>
              </w:rPr>
            </w:pPr>
            <w:r>
              <w:rPr>
                <w:spacing w:val="-5"/>
                <w:sz w:val="18"/>
              </w:rPr>
              <w:t>5.8</w:t>
            </w:r>
          </w:p>
        </w:tc>
        <w:tc>
          <w:tcPr>
            <w:tcW w:w="1169" w:type="dxa"/>
          </w:tcPr>
          <w:p>
            <w:pPr>
              <w:pStyle w:val="TableParagraph"/>
              <w:spacing w:line="308" w:lineRule="exact"/>
              <w:ind w:right="452"/>
              <w:jc w:val="right"/>
              <w:rPr>
                <w:sz w:val="18"/>
              </w:rPr>
            </w:pPr>
            <w:r>
              <w:rPr>
                <w:spacing w:val="-5"/>
                <w:sz w:val="18"/>
              </w:rPr>
              <w:t>3.3</w:t>
            </w:r>
          </w:p>
        </w:tc>
        <w:tc>
          <w:tcPr>
            <w:tcW w:w="1051" w:type="dxa"/>
          </w:tcPr>
          <w:p>
            <w:pPr>
              <w:pStyle w:val="TableParagraph"/>
              <w:spacing w:line="308" w:lineRule="exact"/>
              <w:ind w:right="421"/>
              <w:jc w:val="right"/>
              <w:rPr>
                <w:sz w:val="18"/>
              </w:rPr>
            </w:pPr>
            <w:r>
              <w:rPr>
                <w:spacing w:val="-5"/>
                <w:sz w:val="18"/>
              </w:rPr>
              <w:t>2.3</w:t>
            </w:r>
          </w:p>
        </w:tc>
      </w:tr>
      <w:tr>
        <w:trPr>
          <w:trHeight w:val="327" w:hRule="atLeast"/>
        </w:trPr>
        <w:tc>
          <w:tcPr>
            <w:tcW w:w="2622" w:type="dxa"/>
            <w:tcBorders>
              <w:bottom w:val="single" w:sz="4" w:space="0" w:color="000000"/>
            </w:tcBorders>
          </w:tcPr>
          <w:p>
            <w:pPr>
              <w:pStyle w:val="TableParagraph"/>
              <w:spacing w:line="308" w:lineRule="exact"/>
              <w:ind w:left="57"/>
              <w:rPr>
                <w:sz w:val="18"/>
              </w:rPr>
            </w:pPr>
            <w:r>
              <w:rPr>
                <w:sz w:val="18"/>
              </w:rPr>
              <w:t>Increase</w:t>
            </w:r>
            <w:r>
              <w:rPr>
                <w:spacing w:val="-5"/>
                <w:sz w:val="18"/>
              </w:rPr>
              <w:t> </w:t>
            </w:r>
            <w:r>
              <w:rPr>
                <w:sz w:val="18"/>
              </w:rPr>
              <w:t>in</w:t>
            </w:r>
            <w:r>
              <w:rPr>
                <w:spacing w:val="-5"/>
                <w:sz w:val="18"/>
              </w:rPr>
              <w:t> </w:t>
            </w:r>
            <w:r>
              <w:rPr>
                <w:sz w:val="18"/>
              </w:rPr>
              <w:t>Uninsured</w:t>
            </w:r>
            <w:r>
              <w:rPr>
                <w:spacing w:val="-4"/>
                <w:sz w:val="18"/>
              </w:rPr>
              <w:t> </w:t>
            </w:r>
            <w:r>
              <w:rPr>
                <w:spacing w:val="-2"/>
                <w:sz w:val="18"/>
              </w:rPr>
              <w:t>People</w:t>
            </w:r>
          </w:p>
        </w:tc>
        <w:tc>
          <w:tcPr>
            <w:tcW w:w="1033" w:type="dxa"/>
            <w:tcBorders>
              <w:bottom w:val="single" w:sz="4" w:space="0" w:color="000000"/>
            </w:tcBorders>
          </w:tcPr>
          <w:p>
            <w:pPr>
              <w:pStyle w:val="TableParagraph"/>
              <w:spacing w:line="308" w:lineRule="exact"/>
              <w:ind w:left="392"/>
              <w:rPr>
                <w:sz w:val="18"/>
              </w:rPr>
            </w:pPr>
            <w:r>
              <w:rPr>
                <w:spacing w:val="-5"/>
                <w:sz w:val="18"/>
              </w:rPr>
              <w:t>2.4</w:t>
            </w:r>
          </w:p>
        </w:tc>
        <w:tc>
          <w:tcPr>
            <w:tcW w:w="1052" w:type="dxa"/>
            <w:tcBorders>
              <w:bottom w:val="single" w:sz="4" w:space="0" w:color="000000"/>
            </w:tcBorders>
          </w:tcPr>
          <w:p>
            <w:pPr>
              <w:pStyle w:val="TableParagraph"/>
              <w:spacing w:line="308" w:lineRule="exact"/>
              <w:ind w:left="264" w:right="128"/>
              <w:jc w:val="center"/>
              <w:rPr>
                <w:sz w:val="18"/>
              </w:rPr>
            </w:pPr>
            <w:r>
              <w:rPr>
                <w:spacing w:val="-5"/>
                <w:sz w:val="18"/>
              </w:rPr>
              <w:t>3.9</w:t>
            </w:r>
          </w:p>
        </w:tc>
        <w:tc>
          <w:tcPr>
            <w:tcW w:w="1268" w:type="dxa"/>
            <w:tcBorders>
              <w:bottom w:val="single" w:sz="4" w:space="0" w:color="000000"/>
            </w:tcBorders>
          </w:tcPr>
          <w:p>
            <w:pPr>
              <w:pStyle w:val="TableParagraph"/>
              <w:spacing w:line="308" w:lineRule="exact"/>
              <w:ind w:right="452"/>
              <w:jc w:val="right"/>
              <w:rPr>
                <w:sz w:val="18"/>
              </w:rPr>
            </w:pPr>
            <w:r>
              <w:rPr>
                <w:spacing w:val="-5"/>
                <w:sz w:val="18"/>
              </w:rPr>
              <w:t>2.9</w:t>
            </w:r>
          </w:p>
        </w:tc>
        <w:tc>
          <w:tcPr>
            <w:tcW w:w="1169" w:type="dxa"/>
            <w:tcBorders>
              <w:bottom w:val="single" w:sz="4" w:space="0" w:color="000000"/>
            </w:tcBorders>
          </w:tcPr>
          <w:p>
            <w:pPr>
              <w:pStyle w:val="TableParagraph"/>
              <w:spacing w:line="308" w:lineRule="exact"/>
              <w:ind w:right="452"/>
              <w:jc w:val="right"/>
              <w:rPr>
                <w:sz w:val="18"/>
              </w:rPr>
            </w:pPr>
            <w:r>
              <w:rPr>
                <w:spacing w:val="-5"/>
                <w:sz w:val="18"/>
              </w:rPr>
              <w:t>1.5</w:t>
            </w:r>
          </w:p>
        </w:tc>
        <w:tc>
          <w:tcPr>
            <w:tcW w:w="1051" w:type="dxa"/>
            <w:tcBorders>
              <w:bottom w:val="single" w:sz="4" w:space="0" w:color="000000"/>
            </w:tcBorders>
          </w:tcPr>
          <w:p>
            <w:pPr>
              <w:pStyle w:val="TableParagraph"/>
              <w:spacing w:line="308" w:lineRule="exact"/>
              <w:ind w:right="421"/>
              <w:jc w:val="right"/>
              <w:rPr>
                <w:sz w:val="18"/>
              </w:rPr>
            </w:pPr>
            <w:r>
              <w:rPr>
                <w:spacing w:val="-5"/>
                <w:sz w:val="18"/>
              </w:rPr>
              <w:t>0.6</w:t>
            </w:r>
          </w:p>
        </w:tc>
      </w:tr>
      <w:tr>
        <w:trPr>
          <w:trHeight w:val="2140" w:hRule="atLeast"/>
        </w:trPr>
        <w:tc>
          <w:tcPr>
            <w:tcW w:w="8195" w:type="dxa"/>
            <w:gridSpan w:val="6"/>
            <w:tcBorders>
              <w:top w:val="single" w:sz="4" w:space="0" w:color="000000"/>
              <w:bottom w:val="single" w:sz="4" w:space="0" w:color="000000"/>
            </w:tcBorders>
          </w:tcPr>
          <w:p>
            <w:pPr>
              <w:pStyle w:val="TableParagraph"/>
              <w:spacing w:line="189" w:lineRule="exact"/>
              <w:ind w:left="57"/>
              <w:jc w:val="both"/>
              <w:rPr>
                <w:sz w:val="16"/>
              </w:rPr>
            </w:pPr>
            <w:r>
              <w:rPr>
                <w:sz w:val="16"/>
              </w:rPr>
              <w:t>Source:</w:t>
            </w:r>
            <w:r>
              <w:rPr>
                <w:spacing w:val="-7"/>
                <w:sz w:val="16"/>
              </w:rPr>
              <w:t> </w:t>
            </w:r>
            <w:r>
              <w:rPr>
                <w:sz w:val="16"/>
              </w:rPr>
              <w:t>Congressional</w:t>
            </w:r>
            <w:r>
              <w:rPr>
                <w:spacing w:val="-6"/>
                <w:sz w:val="16"/>
              </w:rPr>
              <w:t> </w:t>
            </w:r>
            <w:r>
              <w:rPr>
                <w:sz w:val="16"/>
              </w:rPr>
              <w:t>Budget</w:t>
            </w:r>
            <w:r>
              <w:rPr>
                <w:spacing w:val="-6"/>
                <w:sz w:val="16"/>
              </w:rPr>
              <w:t> </w:t>
            </w:r>
            <w:r>
              <w:rPr>
                <w:spacing w:val="-2"/>
                <w:sz w:val="16"/>
              </w:rPr>
              <w:t>Office.</w:t>
            </w:r>
          </w:p>
          <w:p>
            <w:pPr>
              <w:pStyle w:val="TableParagraph"/>
              <w:numPr>
                <w:ilvl w:val="0"/>
                <w:numId w:val="3"/>
              </w:numPr>
              <w:tabs>
                <w:tab w:pos="314" w:val="left" w:leader="none"/>
                <w:tab w:pos="316" w:val="left" w:leader="none"/>
              </w:tabs>
              <w:spacing w:line="117" w:lineRule="auto" w:before="80" w:after="0"/>
              <w:ind w:left="316" w:right="100" w:hanging="260"/>
              <w:jc w:val="both"/>
              <w:rPr>
                <w:sz w:val="16"/>
              </w:rPr>
            </w:pPr>
            <w:r>
              <w:rPr>
                <w:sz w:val="16"/>
              </w:rPr>
              <w:t>Limiting</w:t>
            </w:r>
            <w:r>
              <w:rPr>
                <w:spacing w:val="-1"/>
                <w:sz w:val="16"/>
              </w:rPr>
              <w:t> </w:t>
            </w:r>
            <w:r>
              <w:rPr>
                <w:sz w:val="16"/>
              </w:rPr>
              <w:t>providers’</w:t>
            </w:r>
            <w:r>
              <w:rPr>
                <w:spacing w:val="-2"/>
                <w:sz w:val="16"/>
              </w:rPr>
              <w:t> </w:t>
            </w:r>
            <w:r>
              <w:rPr>
                <w:sz w:val="16"/>
              </w:rPr>
              <w:t>state</w:t>
            </w:r>
            <w:r>
              <w:rPr>
                <w:spacing w:val="-1"/>
                <w:sz w:val="16"/>
              </w:rPr>
              <w:t> </w:t>
            </w:r>
            <w:r>
              <w:rPr>
                <w:sz w:val="16"/>
              </w:rPr>
              <w:t>taxes</w:t>
            </w:r>
            <w:r>
              <w:rPr>
                <w:spacing w:val="-3"/>
                <w:sz w:val="16"/>
              </w:rPr>
              <w:t> </w:t>
            </w:r>
            <w:r>
              <w:rPr>
                <w:sz w:val="16"/>
              </w:rPr>
              <w:t>would</w:t>
            </w:r>
            <w:r>
              <w:rPr>
                <w:spacing w:val="-1"/>
                <w:sz w:val="16"/>
              </w:rPr>
              <w:t> </w:t>
            </w:r>
            <w:r>
              <w:rPr>
                <w:sz w:val="16"/>
              </w:rPr>
              <w:t>not</w:t>
            </w:r>
            <w:r>
              <w:rPr>
                <w:spacing w:val="-3"/>
                <w:sz w:val="16"/>
              </w:rPr>
              <w:t> </w:t>
            </w:r>
            <w:r>
              <w:rPr>
                <w:sz w:val="16"/>
              </w:rPr>
              <w:t>directly</w:t>
            </w:r>
            <w:r>
              <w:rPr>
                <w:spacing w:val="-3"/>
                <w:sz w:val="16"/>
              </w:rPr>
              <w:t> </w:t>
            </w:r>
            <w:r>
              <w:rPr>
                <w:sz w:val="16"/>
              </w:rPr>
              <w:t>generate</w:t>
            </w:r>
            <w:r>
              <w:rPr>
                <w:spacing w:val="-1"/>
                <w:sz w:val="16"/>
              </w:rPr>
              <w:t> </w:t>
            </w:r>
            <w:r>
              <w:rPr>
                <w:sz w:val="16"/>
              </w:rPr>
              <w:t>federal</w:t>
            </w:r>
            <w:r>
              <w:rPr>
                <w:spacing w:val="-2"/>
                <w:sz w:val="16"/>
              </w:rPr>
              <w:t> </w:t>
            </w:r>
            <w:r>
              <w:rPr>
                <w:sz w:val="16"/>
              </w:rPr>
              <w:t>savings.</w:t>
            </w:r>
            <w:r>
              <w:rPr>
                <w:spacing w:val="-3"/>
                <w:sz w:val="16"/>
              </w:rPr>
              <w:t> </w:t>
            </w:r>
            <w:r>
              <w:rPr>
                <w:sz w:val="16"/>
              </w:rPr>
              <w:t>Medicaid</w:t>
            </w:r>
            <w:r>
              <w:rPr>
                <w:spacing w:val="-3"/>
                <w:sz w:val="16"/>
              </w:rPr>
              <w:t> </w:t>
            </w:r>
            <w:r>
              <w:rPr>
                <w:sz w:val="16"/>
              </w:rPr>
              <w:t>itself</w:t>
            </w:r>
            <w:r>
              <w:rPr>
                <w:spacing w:val="-3"/>
                <w:sz w:val="16"/>
              </w:rPr>
              <w:t> </w:t>
            </w:r>
            <w:r>
              <w:rPr>
                <w:sz w:val="16"/>
              </w:rPr>
              <w:t>would</w:t>
            </w:r>
            <w:r>
              <w:rPr>
                <w:spacing w:val="-1"/>
                <w:sz w:val="16"/>
              </w:rPr>
              <w:t> </w:t>
            </w:r>
            <w:r>
              <w:rPr>
                <w:sz w:val="16"/>
              </w:rPr>
              <w:t>not</w:t>
            </w:r>
            <w:r>
              <w:rPr>
                <w:spacing w:val="-3"/>
                <w:sz w:val="16"/>
              </w:rPr>
              <w:t> </w:t>
            </w:r>
            <w:r>
              <w:rPr>
                <w:sz w:val="16"/>
              </w:rPr>
              <w:t>change,</w:t>
            </w:r>
            <w:r>
              <w:rPr>
                <w:spacing w:val="-3"/>
                <w:sz w:val="16"/>
              </w:rPr>
              <w:t> </w:t>
            </w:r>
            <w:r>
              <w:rPr>
                <w:sz w:val="16"/>
              </w:rPr>
              <w:t>but</w:t>
            </w:r>
            <w:r>
              <w:rPr>
                <w:spacing w:val="-3"/>
                <w:sz w:val="16"/>
              </w:rPr>
              <w:t> </w:t>
            </w:r>
            <w:r>
              <w:rPr>
                <w:sz w:val="16"/>
              </w:rPr>
              <w:t>because</w:t>
            </w:r>
            <w:r>
              <w:rPr>
                <w:spacing w:val="-1"/>
                <w:sz w:val="16"/>
              </w:rPr>
              <w:t> </w:t>
            </w:r>
            <w:r>
              <w:rPr>
                <w:sz w:val="16"/>
              </w:rPr>
              <w:t>states</w:t>
            </w:r>
            <w:r>
              <w:rPr>
                <w:spacing w:val="-3"/>
                <w:sz w:val="16"/>
              </w:rPr>
              <w:t> </w:t>
            </w:r>
            <w:r>
              <w:rPr>
                <w:sz w:val="16"/>
              </w:rPr>
              <w:t>would</w:t>
            </w:r>
            <w:r>
              <w:rPr>
                <w:spacing w:val="40"/>
                <w:sz w:val="16"/>
              </w:rPr>
              <w:t> </w:t>
            </w:r>
            <w:r>
              <w:rPr>
                <w:sz w:val="16"/>
              </w:rPr>
              <w:t>reduce their spending, federal payments to states also would be reduced.</w:t>
            </w:r>
          </w:p>
          <w:p>
            <w:pPr>
              <w:pStyle w:val="TableParagraph"/>
              <w:numPr>
                <w:ilvl w:val="0"/>
                <w:numId w:val="3"/>
              </w:numPr>
              <w:tabs>
                <w:tab w:pos="314" w:val="left" w:leader="none"/>
                <w:tab w:pos="316" w:val="left" w:leader="none"/>
              </w:tabs>
              <w:spacing w:line="117" w:lineRule="auto" w:before="39" w:after="0"/>
              <w:ind w:left="316" w:right="221" w:hanging="260"/>
              <w:jc w:val="both"/>
              <w:rPr>
                <w:sz w:val="16"/>
              </w:rPr>
            </w:pPr>
            <w:r>
              <w:rPr>
                <w:sz w:val="16"/>
              </w:rPr>
              <w:t>Because</w:t>
            </w:r>
            <w:r>
              <w:rPr>
                <w:spacing w:val="-1"/>
                <w:sz w:val="16"/>
              </w:rPr>
              <w:t> </w:t>
            </w:r>
            <w:r>
              <w:rPr>
                <w:sz w:val="16"/>
              </w:rPr>
              <w:t>the</w:t>
            </w:r>
            <w:r>
              <w:rPr>
                <w:spacing w:val="-1"/>
                <w:sz w:val="16"/>
              </w:rPr>
              <w:t> </w:t>
            </w:r>
            <w:r>
              <w:rPr>
                <w:sz w:val="16"/>
              </w:rPr>
              <w:t>per-enrollee</w:t>
            </w:r>
            <w:r>
              <w:rPr>
                <w:spacing w:val="-1"/>
                <w:sz w:val="16"/>
              </w:rPr>
              <w:t> </w:t>
            </w:r>
            <w:r>
              <w:rPr>
                <w:sz w:val="16"/>
              </w:rPr>
              <w:t>cap</w:t>
            </w:r>
            <w:r>
              <w:rPr>
                <w:spacing w:val="-1"/>
                <w:sz w:val="16"/>
              </w:rPr>
              <w:t> </w:t>
            </w:r>
            <w:r>
              <w:rPr>
                <w:sz w:val="16"/>
              </w:rPr>
              <w:t>specified</w:t>
            </w:r>
            <w:r>
              <w:rPr>
                <w:spacing w:val="-1"/>
                <w:sz w:val="16"/>
              </w:rPr>
              <w:t> </w:t>
            </w:r>
            <w:r>
              <w:rPr>
                <w:sz w:val="16"/>
              </w:rPr>
              <w:t>in</w:t>
            </w:r>
            <w:r>
              <w:rPr>
                <w:spacing w:val="-3"/>
                <w:sz w:val="16"/>
              </w:rPr>
              <w:t> </w:t>
            </w:r>
            <w:r>
              <w:rPr>
                <w:sz w:val="16"/>
              </w:rPr>
              <w:t>Options</w:t>
            </w:r>
            <w:r>
              <w:rPr>
                <w:spacing w:val="-3"/>
                <w:sz w:val="16"/>
              </w:rPr>
              <w:t> </w:t>
            </w:r>
            <w:r>
              <w:rPr>
                <w:sz w:val="16"/>
              </w:rPr>
              <w:t>3</w:t>
            </w:r>
            <w:r>
              <w:rPr>
                <w:spacing w:val="-1"/>
                <w:sz w:val="16"/>
              </w:rPr>
              <w:t> </w:t>
            </w:r>
            <w:r>
              <w:rPr>
                <w:sz w:val="16"/>
              </w:rPr>
              <w:t>and</w:t>
            </w:r>
            <w:r>
              <w:rPr>
                <w:spacing w:val="-1"/>
                <w:sz w:val="16"/>
              </w:rPr>
              <w:t> </w:t>
            </w:r>
            <w:r>
              <w:rPr>
                <w:sz w:val="16"/>
              </w:rPr>
              <w:t>4</w:t>
            </w:r>
            <w:r>
              <w:rPr>
                <w:spacing w:val="-1"/>
                <w:sz w:val="16"/>
              </w:rPr>
              <w:t> </w:t>
            </w:r>
            <w:r>
              <w:rPr>
                <w:sz w:val="16"/>
              </w:rPr>
              <w:t>would</w:t>
            </w:r>
            <w:r>
              <w:rPr>
                <w:spacing w:val="-1"/>
                <w:sz w:val="16"/>
              </w:rPr>
              <w:t> </w:t>
            </w:r>
            <w:r>
              <w:rPr>
                <w:sz w:val="16"/>
              </w:rPr>
              <w:t>set</w:t>
            </w:r>
            <w:r>
              <w:rPr>
                <w:spacing w:val="-3"/>
                <w:sz w:val="16"/>
              </w:rPr>
              <w:t> </w:t>
            </w:r>
            <w:r>
              <w:rPr>
                <w:sz w:val="16"/>
              </w:rPr>
              <w:t>a</w:t>
            </w:r>
            <w:r>
              <w:rPr>
                <w:spacing w:val="-1"/>
                <w:sz w:val="16"/>
              </w:rPr>
              <w:t> </w:t>
            </w:r>
            <w:r>
              <w:rPr>
                <w:sz w:val="16"/>
              </w:rPr>
              <w:t>fixed</w:t>
            </w:r>
            <w:r>
              <w:rPr>
                <w:spacing w:val="-3"/>
                <w:sz w:val="16"/>
              </w:rPr>
              <w:t> </w:t>
            </w:r>
            <w:r>
              <w:rPr>
                <w:sz w:val="16"/>
              </w:rPr>
              <w:t>amount</w:t>
            </w:r>
            <w:r>
              <w:rPr>
                <w:spacing w:val="-5"/>
                <w:sz w:val="16"/>
              </w:rPr>
              <w:t> </w:t>
            </w:r>
            <w:r>
              <w:rPr>
                <w:sz w:val="16"/>
              </w:rPr>
              <w:t>of</w:t>
            </w:r>
            <w:r>
              <w:rPr>
                <w:spacing w:val="-3"/>
                <w:sz w:val="16"/>
              </w:rPr>
              <w:t> </w:t>
            </w:r>
            <w:r>
              <w:rPr>
                <w:sz w:val="16"/>
              </w:rPr>
              <w:t>federal</w:t>
            </w:r>
            <w:r>
              <w:rPr>
                <w:spacing w:val="-2"/>
                <w:sz w:val="16"/>
              </w:rPr>
              <w:t> </w:t>
            </w:r>
            <w:r>
              <w:rPr>
                <w:sz w:val="16"/>
              </w:rPr>
              <w:t>funding</w:t>
            </w:r>
            <w:r>
              <w:rPr>
                <w:spacing w:val="-3"/>
                <w:sz w:val="16"/>
              </w:rPr>
              <w:t> </w:t>
            </w:r>
            <w:r>
              <w:rPr>
                <w:sz w:val="16"/>
              </w:rPr>
              <w:t>per</w:t>
            </w:r>
            <w:r>
              <w:rPr>
                <w:spacing w:val="-5"/>
                <w:sz w:val="16"/>
              </w:rPr>
              <w:t> </w:t>
            </w:r>
            <w:r>
              <w:rPr>
                <w:sz w:val="16"/>
              </w:rPr>
              <w:t>beneficiary,</w:t>
            </w:r>
            <w:r>
              <w:rPr>
                <w:spacing w:val="-3"/>
                <w:sz w:val="16"/>
              </w:rPr>
              <w:t> </w:t>
            </w:r>
            <w:r>
              <w:rPr>
                <w:sz w:val="16"/>
              </w:rPr>
              <w:t>CBO</w:t>
            </w:r>
            <w:r>
              <w:rPr>
                <w:spacing w:val="-1"/>
                <w:sz w:val="16"/>
              </w:rPr>
              <w:t> </w:t>
            </w:r>
            <w:r>
              <w:rPr>
                <w:sz w:val="16"/>
              </w:rPr>
              <w:t>expects</w:t>
            </w:r>
            <w:r>
              <w:rPr>
                <w:spacing w:val="40"/>
                <w:sz w:val="16"/>
              </w:rPr>
              <w:t> </w:t>
            </w:r>
            <w:r>
              <w:rPr>
                <w:sz w:val="16"/>
              </w:rPr>
              <w:t>that</w:t>
            </w:r>
            <w:r>
              <w:rPr>
                <w:spacing w:val="-2"/>
                <w:sz w:val="16"/>
              </w:rPr>
              <w:t> </w:t>
            </w:r>
            <w:r>
              <w:rPr>
                <w:sz w:val="16"/>
              </w:rPr>
              <w:t>states</w:t>
            </w:r>
            <w:r>
              <w:rPr>
                <w:spacing w:val="-2"/>
                <w:sz w:val="16"/>
              </w:rPr>
              <w:t> </w:t>
            </w:r>
            <w:r>
              <w:rPr>
                <w:sz w:val="16"/>
              </w:rPr>
              <w:t>would reduce</w:t>
            </w:r>
            <w:r>
              <w:rPr>
                <w:spacing w:val="-2"/>
                <w:sz w:val="16"/>
              </w:rPr>
              <w:t> </w:t>
            </w:r>
            <w:r>
              <w:rPr>
                <w:sz w:val="16"/>
              </w:rPr>
              <w:t>provider</w:t>
            </w:r>
            <w:r>
              <w:rPr>
                <w:spacing w:val="-2"/>
                <w:sz w:val="16"/>
              </w:rPr>
              <w:t> </w:t>
            </w:r>
            <w:r>
              <w:rPr>
                <w:sz w:val="16"/>
              </w:rPr>
              <w:t>payments</w:t>
            </w:r>
            <w:r>
              <w:rPr>
                <w:spacing w:val="-2"/>
                <w:sz w:val="16"/>
              </w:rPr>
              <w:t> </w:t>
            </w:r>
            <w:r>
              <w:rPr>
                <w:sz w:val="16"/>
              </w:rPr>
              <w:t>and benefits.</w:t>
            </w:r>
            <w:r>
              <w:rPr>
                <w:spacing w:val="-2"/>
                <w:sz w:val="16"/>
              </w:rPr>
              <w:t> </w:t>
            </w:r>
            <w:r>
              <w:rPr>
                <w:sz w:val="16"/>
              </w:rPr>
              <w:t>Unlike reductions</w:t>
            </w:r>
            <w:r>
              <w:rPr>
                <w:spacing w:val="-2"/>
                <w:sz w:val="16"/>
              </w:rPr>
              <w:t> </w:t>
            </w:r>
            <w:r>
              <w:rPr>
                <w:sz w:val="16"/>
              </w:rPr>
              <w:t>in enrollment</w:t>
            </w:r>
            <w:r>
              <w:rPr>
                <w:spacing w:val="-2"/>
                <w:sz w:val="16"/>
              </w:rPr>
              <w:t> </w:t>
            </w:r>
            <w:r>
              <w:rPr>
                <w:sz w:val="16"/>
              </w:rPr>
              <w:t>that</w:t>
            </w:r>
            <w:r>
              <w:rPr>
                <w:spacing w:val="-2"/>
                <w:sz w:val="16"/>
              </w:rPr>
              <w:t> </w:t>
            </w:r>
            <w:r>
              <w:rPr>
                <w:sz w:val="16"/>
              </w:rPr>
              <w:t>would reduce</w:t>
            </w:r>
            <w:r>
              <w:rPr>
                <w:spacing w:val="-1"/>
                <w:sz w:val="16"/>
              </w:rPr>
              <w:t> </w:t>
            </w:r>
            <w:r>
              <w:rPr>
                <w:sz w:val="16"/>
              </w:rPr>
              <w:t>federal</w:t>
            </w:r>
            <w:r>
              <w:rPr>
                <w:spacing w:val="-1"/>
                <w:sz w:val="16"/>
              </w:rPr>
              <w:t> </w:t>
            </w:r>
            <w:r>
              <w:rPr>
                <w:sz w:val="16"/>
              </w:rPr>
              <w:t>spending,</w:t>
            </w:r>
            <w:r>
              <w:rPr>
                <w:spacing w:val="-4"/>
                <w:sz w:val="16"/>
              </w:rPr>
              <w:t> </w:t>
            </w:r>
            <w:r>
              <w:rPr>
                <w:sz w:val="16"/>
              </w:rPr>
              <w:t>those</w:t>
            </w:r>
            <w:r>
              <w:rPr>
                <w:spacing w:val="40"/>
                <w:sz w:val="16"/>
              </w:rPr>
              <w:t> </w:t>
            </w:r>
            <w:r>
              <w:rPr>
                <w:sz w:val="16"/>
              </w:rPr>
              <w:t>reductions would not result in additional federal savings.</w:t>
            </w:r>
          </w:p>
          <w:p>
            <w:pPr>
              <w:pStyle w:val="TableParagraph"/>
              <w:numPr>
                <w:ilvl w:val="0"/>
                <w:numId w:val="3"/>
              </w:numPr>
              <w:tabs>
                <w:tab w:pos="313" w:val="left" w:leader="none"/>
                <w:tab w:pos="316" w:val="left" w:leader="none"/>
              </w:tabs>
              <w:spacing w:line="115" w:lineRule="auto" w:before="41" w:after="0"/>
              <w:ind w:left="316" w:right="192" w:hanging="260"/>
              <w:jc w:val="both"/>
              <w:rPr>
                <w:sz w:val="16"/>
              </w:rPr>
            </w:pPr>
            <w:r>
              <w:rPr>
                <w:sz w:val="16"/>
              </w:rPr>
              <w:t>A repeal</w:t>
            </w:r>
            <w:r>
              <w:rPr>
                <w:spacing w:val="-1"/>
                <w:sz w:val="16"/>
              </w:rPr>
              <w:t> </w:t>
            </w:r>
            <w:r>
              <w:rPr>
                <w:sz w:val="16"/>
              </w:rPr>
              <w:t>of</w:t>
            </w:r>
            <w:r>
              <w:rPr>
                <w:spacing w:val="-2"/>
                <w:sz w:val="16"/>
              </w:rPr>
              <w:t> </w:t>
            </w:r>
            <w:r>
              <w:rPr>
                <w:sz w:val="16"/>
              </w:rPr>
              <w:t>the final</w:t>
            </w:r>
            <w:r>
              <w:rPr>
                <w:spacing w:val="-2"/>
                <w:sz w:val="16"/>
              </w:rPr>
              <w:t> </w:t>
            </w:r>
            <w:r>
              <w:rPr>
                <w:sz w:val="16"/>
              </w:rPr>
              <w:t>rule</w:t>
            </w:r>
            <w:r>
              <w:rPr>
                <w:spacing w:val="-2"/>
                <w:sz w:val="16"/>
              </w:rPr>
              <w:t> </w:t>
            </w:r>
            <w:r>
              <w:rPr>
                <w:sz w:val="16"/>
              </w:rPr>
              <w:t>would reduce Medicaid</w:t>
            </w:r>
            <w:r>
              <w:rPr>
                <w:spacing w:val="-2"/>
                <w:sz w:val="16"/>
              </w:rPr>
              <w:t> </w:t>
            </w:r>
            <w:r>
              <w:rPr>
                <w:sz w:val="16"/>
              </w:rPr>
              <w:t>enrollment,</w:t>
            </w:r>
            <w:r>
              <w:rPr>
                <w:spacing w:val="-2"/>
                <w:sz w:val="16"/>
              </w:rPr>
              <w:t> </w:t>
            </w:r>
            <w:r>
              <w:rPr>
                <w:sz w:val="16"/>
              </w:rPr>
              <w:t>generating net</w:t>
            </w:r>
            <w:r>
              <w:rPr>
                <w:spacing w:val="-2"/>
                <w:sz w:val="16"/>
              </w:rPr>
              <w:t> </w:t>
            </w:r>
            <w:r>
              <w:rPr>
                <w:sz w:val="16"/>
              </w:rPr>
              <w:t>savings</w:t>
            </w:r>
            <w:r>
              <w:rPr>
                <w:spacing w:val="-5"/>
                <w:sz w:val="16"/>
              </w:rPr>
              <w:t> </w:t>
            </w:r>
            <w:r>
              <w:rPr>
                <w:sz w:val="16"/>
              </w:rPr>
              <w:t>to states.</w:t>
            </w:r>
            <w:r>
              <w:rPr>
                <w:spacing w:val="-2"/>
                <w:sz w:val="16"/>
              </w:rPr>
              <w:t> </w:t>
            </w:r>
            <w:r>
              <w:rPr>
                <w:sz w:val="16"/>
              </w:rPr>
              <w:t>CBO</w:t>
            </w:r>
            <w:r>
              <w:rPr>
                <w:spacing w:val="-3"/>
                <w:sz w:val="16"/>
              </w:rPr>
              <w:t> </w:t>
            </w:r>
            <w:r>
              <w:rPr>
                <w:sz w:val="16"/>
              </w:rPr>
              <w:t>does</w:t>
            </w:r>
            <w:r>
              <w:rPr>
                <w:spacing w:val="-2"/>
                <w:sz w:val="16"/>
              </w:rPr>
              <w:t> </w:t>
            </w:r>
            <w:r>
              <w:rPr>
                <w:sz w:val="16"/>
              </w:rPr>
              <w:t>not</w:t>
            </w:r>
            <w:r>
              <w:rPr>
                <w:spacing w:val="-2"/>
                <w:sz w:val="16"/>
              </w:rPr>
              <w:t> </w:t>
            </w:r>
            <w:r>
              <w:rPr>
                <w:sz w:val="16"/>
              </w:rPr>
              <w:t>expect</w:t>
            </w:r>
            <w:r>
              <w:rPr>
                <w:spacing w:val="-2"/>
                <w:sz w:val="16"/>
              </w:rPr>
              <w:t> </w:t>
            </w:r>
            <w:r>
              <w:rPr>
                <w:sz w:val="16"/>
              </w:rPr>
              <w:t>that</w:t>
            </w:r>
            <w:r>
              <w:rPr>
                <w:spacing w:val="-2"/>
                <w:sz w:val="16"/>
              </w:rPr>
              <w:t> </w:t>
            </w:r>
            <w:r>
              <w:rPr>
                <w:sz w:val="16"/>
              </w:rPr>
              <w:t>states</w:t>
            </w:r>
            <w:r>
              <w:rPr>
                <w:spacing w:val="-2"/>
                <w:sz w:val="16"/>
              </w:rPr>
              <w:t> </w:t>
            </w:r>
            <w:r>
              <w:rPr>
                <w:sz w:val="16"/>
              </w:rPr>
              <w:t>would</w:t>
            </w:r>
            <w:r>
              <w:rPr>
                <w:spacing w:val="40"/>
                <w:sz w:val="16"/>
              </w:rPr>
              <w:t> </w:t>
            </w:r>
            <w:r>
              <w:rPr>
                <w:sz w:val="16"/>
              </w:rPr>
              <w:t>respond by reducing provider payment rates or benefits and thus does not estimate additional changes for those areas.</w:t>
            </w:r>
          </w:p>
          <w:p>
            <w:pPr>
              <w:pStyle w:val="TableParagraph"/>
              <w:numPr>
                <w:ilvl w:val="0"/>
                <w:numId w:val="3"/>
              </w:numPr>
              <w:tabs>
                <w:tab w:pos="314" w:val="left" w:leader="none"/>
                <w:tab w:pos="316" w:val="left" w:leader="none"/>
              </w:tabs>
              <w:spacing w:line="115" w:lineRule="auto" w:before="47" w:after="0"/>
              <w:ind w:left="316" w:right="840" w:hanging="260"/>
              <w:jc w:val="both"/>
              <w:rPr>
                <w:sz w:val="16"/>
              </w:rPr>
            </w:pPr>
            <w:r>
              <w:rPr>
                <w:sz w:val="16"/>
              </w:rPr>
              <w:t>Includes</w:t>
            </w:r>
            <w:r>
              <w:rPr>
                <w:spacing w:val="-4"/>
                <w:sz w:val="16"/>
              </w:rPr>
              <w:t> </w:t>
            </w:r>
            <w:r>
              <w:rPr>
                <w:sz w:val="16"/>
              </w:rPr>
              <w:t>offsetting</w:t>
            </w:r>
            <w:r>
              <w:rPr>
                <w:spacing w:val="-2"/>
                <w:sz w:val="16"/>
              </w:rPr>
              <w:t> </w:t>
            </w:r>
            <w:r>
              <w:rPr>
                <w:sz w:val="16"/>
              </w:rPr>
              <w:t>costs</w:t>
            </w:r>
            <w:r>
              <w:rPr>
                <w:spacing w:val="-4"/>
                <w:sz w:val="16"/>
              </w:rPr>
              <w:t> </w:t>
            </w:r>
            <w:r>
              <w:rPr>
                <w:sz w:val="16"/>
              </w:rPr>
              <w:t>from</w:t>
            </w:r>
            <w:r>
              <w:rPr>
                <w:spacing w:val="-2"/>
                <w:sz w:val="16"/>
              </w:rPr>
              <w:t> </w:t>
            </w:r>
            <w:r>
              <w:rPr>
                <w:sz w:val="16"/>
              </w:rPr>
              <w:t>increased</w:t>
            </w:r>
            <w:r>
              <w:rPr>
                <w:spacing w:val="-2"/>
                <w:sz w:val="16"/>
              </w:rPr>
              <w:t> </w:t>
            </w:r>
            <w:r>
              <w:rPr>
                <w:sz w:val="16"/>
              </w:rPr>
              <w:t>enrollment</w:t>
            </w:r>
            <w:r>
              <w:rPr>
                <w:spacing w:val="-4"/>
                <w:sz w:val="16"/>
              </w:rPr>
              <w:t> </w:t>
            </w:r>
            <w:r>
              <w:rPr>
                <w:sz w:val="16"/>
              </w:rPr>
              <w:t>in</w:t>
            </w:r>
            <w:r>
              <w:rPr>
                <w:spacing w:val="-2"/>
                <w:sz w:val="16"/>
              </w:rPr>
              <w:t> </w:t>
            </w:r>
            <w:r>
              <w:rPr>
                <w:sz w:val="16"/>
              </w:rPr>
              <w:t>subsidized</w:t>
            </w:r>
            <w:r>
              <w:rPr>
                <w:spacing w:val="-2"/>
                <w:sz w:val="16"/>
              </w:rPr>
              <w:t> </w:t>
            </w:r>
            <w:r>
              <w:rPr>
                <w:sz w:val="16"/>
              </w:rPr>
              <w:t>health</w:t>
            </w:r>
            <w:r>
              <w:rPr>
                <w:spacing w:val="-2"/>
                <w:sz w:val="16"/>
              </w:rPr>
              <w:t> </w:t>
            </w:r>
            <w:r>
              <w:rPr>
                <w:sz w:val="16"/>
              </w:rPr>
              <w:t>insurance</w:t>
            </w:r>
            <w:r>
              <w:rPr>
                <w:spacing w:val="-4"/>
                <w:sz w:val="16"/>
              </w:rPr>
              <w:t> </w:t>
            </w:r>
            <w:r>
              <w:rPr>
                <w:sz w:val="16"/>
              </w:rPr>
              <w:t>obtained</w:t>
            </w:r>
            <w:r>
              <w:rPr>
                <w:spacing w:val="-2"/>
                <w:sz w:val="16"/>
              </w:rPr>
              <w:t> </w:t>
            </w:r>
            <w:r>
              <w:rPr>
                <w:sz w:val="16"/>
              </w:rPr>
              <w:t>through</w:t>
            </w:r>
            <w:r>
              <w:rPr>
                <w:spacing w:val="-2"/>
                <w:sz w:val="16"/>
              </w:rPr>
              <w:t> </w:t>
            </w:r>
            <w:r>
              <w:rPr>
                <w:sz w:val="16"/>
              </w:rPr>
              <w:t>employment</w:t>
            </w:r>
            <w:r>
              <w:rPr>
                <w:spacing w:val="-4"/>
                <w:sz w:val="16"/>
              </w:rPr>
              <w:t> </w:t>
            </w:r>
            <w:r>
              <w:rPr>
                <w:sz w:val="16"/>
              </w:rPr>
              <w:t>or</w:t>
            </w:r>
            <w:r>
              <w:rPr>
                <w:spacing w:val="-4"/>
                <w:sz w:val="16"/>
              </w:rPr>
              <w:t> </w:t>
            </w:r>
            <w:r>
              <w:rPr>
                <w:sz w:val="16"/>
              </w:rPr>
              <w:t>in</w:t>
            </w:r>
            <w:r>
              <w:rPr>
                <w:spacing w:val="-2"/>
                <w:sz w:val="16"/>
              </w:rPr>
              <w:t> </w:t>
            </w:r>
            <w:r>
              <w:rPr>
                <w:sz w:val="16"/>
              </w:rPr>
              <w:t>the</w:t>
            </w:r>
            <w:r>
              <w:rPr>
                <w:spacing w:val="40"/>
                <w:sz w:val="16"/>
              </w:rPr>
              <w:t> </w:t>
            </w:r>
            <w:r>
              <w:rPr>
                <w:sz w:val="16"/>
              </w:rPr>
              <w:t>marketplaces established by the ACA.</w:t>
            </w:r>
          </w:p>
        </w:tc>
      </w:tr>
    </w:tbl>
    <w:p>
      <w:pPr>
        <w:pStyle w:val="Heading1"/>
        <w:spacing w:before="271"/>
        <w:ind w:left="980"/>
      </w:pPr>
      <w:bookmarkStart w:name="Other Considerations" w:id="7"/>
      <w:bookmarkEnd w:id="7"/>
      <w:r>
        <w:rPr>
          <w:b w:val="0"/>
        </w:rPr>
      </w:r>
      <w:r>
        <w:rPr/>
        <w:t>Other</w:t>
      </w:r>
      <w:r>
        <w:rPr>
          <w:spacing w:val="-8"/>
        </w:rPr>
        <w:t> </w:t>
      </w:r>
      <w:r>
        <w:rPr>
          <w:spacing w:val="-2"/>
        </w:rPr>
        <w:t>Considerations</w:t>
      </w:r>
    </w:p>
    <w:p>
      <w:pPr>
        <w:pStyle w:val="BodyText"/>
        <w:spacing w:before="59"/>
        <w:ind w:left="980"/>
      </w:pPr>
      <w:r>
        <w:rPr/>
        <w:t>The</w:t>
      </w:r>
      <w:r>
        <w:rPr>
          <w:spacing w:val="-5"/>
        </w:rPr>
        <w:t> </w:t>
      </w:r>
      <w:r>
        <w:rPr/>
        <w:t>estimates</w:t>
      </w:r>
      <w:r>
        <w:rPr>
          <w:spacing w:val="-5"/>
        </w:rPr>
        <w:t> </w:t>
      </w:r>
      <w:r>
        <w:rPr/>
        <w:t>described</w:t>
      </w:r>
      <w:r>
        <w:rPr>
          <w:spacing w:val="-5"/>
        </w:rPr>
        <w:t> </w:t>
      </w:r>
      <w:r>
        <w:rPr/>
        <w:t>above</w:t>
      </w:r>
      <w:r>
        <w:rPr>
          <w:spacing w:val="-5"/>
        </w:rPr>
        <w:t> </w:t>
      </w:r>
      <w:r>
        <w:rPr/>
        <w:t>consider</w:t>
      </w:r>
      <w:r>
        <w:rPr>
          <w:spacing w:val="-5"/>
        </w:rPr>
        <w:t> </w:t>
      </w:r>
      <w:r>
        <w:rPr/>
        <w:t>each</w:t>
      </w:r>
      <w:r>
        <w:rPr>
          <w:spacing w:val="-2"/>
        </w:rPr>
        <w:t> </w:t>
      </w:r>
      <w:r>
        <w:rPr/>
        <w:t>policy</w:t>
      </w:r>
      <w:r>
        <w:rPr>
          <w:spacing w:val="-5"/>
        </w:rPr>
        <w:t> </w:t>
      </w:r>
      <w:r>
        <w:rPr/>
        <w:t>option</w:t>
      </w:r>
      <w:r>
        <w:rPr>
          <w:spacing w:val="-5"/>
        </w:rPr>
        <w:t> </w:t>
      </w:r>
      <w:r>
        <w:rPr/>
        <w:t>as</w:t>
      </w:r>
      <w:r>
        <w:rPr>
          <w:spacing w:val="-5"/>
        </w:rPr>
        <w:t> </w:t>
      </w:r>
      <w:r>
        <w:rPr/>
        <w:t>though</w:t>
      </w:r>
      <w:r>
        <w:rPr>
          <w:spacing w:val="-2"/>
        </w:rPr>
        <w:t> </w:t>
      </w:r>
      <w:r>
        <w:rPr/>
        <w:t>enacted separately. Where CBO estimated the effects of a set of policies involving Medicaid, the agency considered whether states would realize net savings or</w:t>
      </w:r>
    </w:p>
    <w:p>
      <w:pPr>
        <w:spacing w:after="0"/>
        <w:sectPr>
          <w:pgSz w:w="12240" w:h="15840"/>
          <w:pgMar w:header="731" w:footer="0" w:top="1360" w:bottom="280" w:left="1180" w:right="1680"/>
        </w:sectPr>
      </w:pPr>
    </w:p>
    <w:p>
      <w:pPr>
        <w:pStyle w:val="BodyText"/>
        <w:spacing w:before="287"/>
        <w:ind w:right="268"/>
      </w:pPr>
      <w:r>
        <w:rPr/>
        <w:t>net costs from the policies combined. In the agency’s estimation, that effect would then inform states’ responses to any particular policy. For example, states</w:t>
      </w:r>
      <w:r>
        <w:rPr>
          <w:spacing w:val="-5"/>
        </w:rPr>
        <w:t> </w:t>
      </w:r>
      <w:r>
        <w:rPr/>
        <w:t>that</w:t>
      </w:r>
      <w:r>
        <w:rPr>
          <w:spacing w:val="-5"/>
        </w:rPr>
        <w:t> </w:t>
      </w:r>
      <w:r>
        <w:rPr/>
        <w:t>realized</w:t>
      </w:r>
      <w:r>
        <w:rPr>
          <w:spacing w:val="-5"/>
        </w:rPr>
        <w:t> </w:t>
      </w:r>
      <w:r>
        <w:rPr/>
        <w:t>net</w:t>
      </w:r>
      <w:r>
        <w:rPr>
          <w:spacing w:val="-2"/>
        </w:rPr>
        <w:t> </w:t>
      </w:r>
      <w:r>
        <w:rPr/>
        <w:t>savings</w:t>
      </w:r>
      <w:r>
        <w:rPr>
          <w:spacing w:val="-5"/>
        </w:rPr>
        <w:t> </w:t>
      </w:r>
      <w:r>
        <w:rPr/>
        <w:t>from</w:t>
      </w:r>
      <w:r>
        <w:rPr>
          <w:spacing w:val="-5"/>
        </w:rPr>
        <w:t> </w:t>
      </w:r>
      <w:r>
        <w:rPr/>
        <w:t>the</w:t>
      </w:r>
      <w:r>
        <w:rPr>
          <w:spacing w:val="-5"/>
        </w:rPr>
        <w:t> </w:t>
      </w:r>
      <w:r>
        <w:rPr/>
        <w:t>combined</w:t>
      </w:r>
      <w:r>
        <w:rPr>
          <w:spacing w:val="-5"/>
        </w:rPr>
        <w:t> </w:t>
      </w:r>
      <w:r>
        <w:rPr/>
        <w:t>policies</w:t>
      </w:r>
      <w:r>
        <w:rPr>
          <w:spacing w:val="-2"/>
        </w:rPr>
        <w:t> </w:t>
      </w:r>
      <w:r>
        <w:rPr/>
        <w:t>would</w:t>
      </w:r>
      <w:r>
        <w:rPr>
          <w:spacing w:val="-1"/>
        </w:rPr>
        <w:t> </w:t>
      </w:r>
      <w:r>
        <w:rPr/>
        <w:t>not</w:t>
      </w:r>
      <w:r>
        <w:rPr>
          <w:spacing w:val="-2"/>
        </w:rPr>
        <w:t> </w:t>
      </w:r>
      <w:r>
        <w:rPr/>
        <w:t>have</w:t>
      </w:r>
      <w:r>
        <w:rPr>
          <w:spacing w:val="-5"/>
        </w:rPr>
        <w:t> </w:t>
      </w:r>
      <w:r>
        <w:rPr/>
        <w:t>an incentive to change their programs in response to any specific policy that increased their costs.</w:t>
      </w:r>
    </w:p>
    <w:p>
      <w:pPr>
        <w:pStyle w:val="BodyText"/>
        <w:spacing w:before="259"/>
        <w:ind w:right="211"/>
      </w:pPr>
      <w:r>
        <w:rPr/>
        <w:t>An area of ongoing analysis involves CBO’s expectations of the states’ responses</w:t>
      </w:r>
      <w:r>
        <w:rPr>
          <w:spacing w:val="-5"/>
        </w:rPr>
        <w:t> </w:t>
      </w:r>
      <w:r>
        <w:rPr/>
        <w:t>to</w:t>
      </w:r>
      <w:r>
        <w:rPr>
          <w:spacing w:val="-5"/>
        </w:rPr>
        <w:t> </w:t>
      </w:r>
      <w:r>
        <w:rPr/>
        <w:t>changes</w:t>
      </w:r>
      <w:r>
        <w:rPr>
          <w:spacing w:val="-5"/>
        </w:rPr>
        <w:t> </w:t>
      </w:r>
      <w:r>
        <w:rPr/>
        <w:t>in</w:t>
      </w:r>
      <w:r>
        <w:rPr>
          <w:spacing w:val="-2"/>
        </w:rPr>
        <w:t> </w:t>
      </w:r>
      <w:r>
        <w:rPr/>
        <w:t>federal</w:t>
      </w:r>
      <w:r>
        <w:rPr>
          <w:spacing w:val="-5"/>
        </w:rPr>
        <w:t> </w:t>
      </w:r>
      <w:r>
        <w:rPr/>
        <w:t>Medicaid</w:t>
      </w:r>
      <w:r>
        <w:rPr>
          <w:spacing w:val="-5"/>
        </w:rPr>
        <w:t> </w:t>
      </w:r>
      <w:r>
        <w:rPr/>
        <w:t>funding.</w:t>
      </w:r>
      <w:r>
        <w:rPr>
          <w:spacing w:val="-5"/>
        </w:rPr>
        <w:t> </w:t>
      </w:r>
      <w:r>
        <w:rPr/>
        <w:t>State</w:t>
      </w:r>
      <w:r>
        <w:rPr>
          <w:spacing w:val="-5"/>
        </w:rPr>
        <w:t> </w:t>
      </w:r>
      <w:r>
        <w:rPr/>
        <w:t>budget</w:t>
      </w:r>
      <w:r>
        <w:rPr>
          <w:spacing w:val="-5"/>
        </w:rPr>
        <w:t> </w:t>
      </w:r>
      <w:r>
        <w:rPr/>
        <w:t>conditions</w:t>
      </w:r>
      <w:r>
        <w:rPr>
          <w:spacing w:val="-5"/>
        </w:rPr>
        <w:t> </w:t>
      </w:r>
      <w:r>
        <w:rPr/>
        <w:t>and Medicaid</w:t>
      </w:r>
      <w:r>
        <w:rPr>
          <w:spacing w:val="-4"/>
        </w:rPr>
        <w:t> </w:t>
      </w:r>
      <w:r>
        <w:rPr/>
        <w:t>programs</w:t>
      </w:r>
      <w:r>
        <w:rPr>
          <w:spacing w:val="-1"/>
        </w:rPr>
        <w:t> </w:t>
      </w:r>
      <w:r>
        <w:rPr/>
        <w:t>are</w:t>
      </w:r>
      <w:r>
        <w:rPr>
          <w:spacing w:val="-1"/>
        </w:rPr>
        <w:t> </w:t>
      </w:r>
      <w:r>
        <w:rPr/>
        <w:t>continuously</w:t>
      </w:r>
      <w:r>
        <w:rPr>
          <w:spacing w:val="-4"/>
        </w:rPr>
        <w:t> </w:t>
      </w:r>
      <w:r>
        <w:rPr/>
        <w:t>changing.</w:t>
      </w:r>
      <w:r>
        <w:rPr>
          <w:spacing w:val="-4"/>
        </w:rPr>
        <w:t> </w:t>
      </w:r>
      <w:r>
        <w:rPr/>
        <w:t>If</w:t>
      </w:r>
      <w:r>
        <w:rPr>
          <w:spacing w:val="-4"/>
        </w:rPr>
        <w:t> </w:t>
      </w:r>
      <w:r>
        <w:rPr/>
        <w:t>you</w:t>
      </w:r>
      <w:r>
        <w:rPr>
          <w:spacing w:val="-4"/>
        </w:rPr>
        <w:t> </w:t>
      </w:r>
      <w:r>
        <w:rPr/>
        <w:t>and</w:t>
      </w:r>
      <w:r>
        <w:rPr>
          <w:spacing w:val="-1"/>
        </w:rPr>
        <w:t> </w:t>
      </w:r>
      <w:r>
        <w:rPr/>
        <w:t>your</w:t>
      </w:r>
      <w:r>
        <w:rPr>
          <w:spacing w:val="-4"/>
        </w:rPr>
        <w:t> </w:t>
      </w:r>
      <w:r>
        <w:rPr/>
        <w:t>staff</w:t>
      </w:r>
      <w:r>
        <w:rPr>
          <w:spacing w:val="-1"/>
        </w:rPr>
        <w:t> </w:t>
      </w:r>
      <w:r>
        <w:rPr/>
        <w:t>have</w:t>
      </w:r>
      <w:r>
        <w:rPr>
          <w:spacing w:val="-4"/>
        </w:rPr>
        <w:t> </w:t>
      </w:r>
      <w:r>
        <w:rPr/>
        <w:t>data to share or know of stakeholders with whom you would like us to communicate, please let us know.</w:t>
      </w:r>
    </w:p>
    <w:p>
      <w:pPr>
        <w:pStyle w:val="BodyText"/>
        <w:spacing w:before="259"/>
      </w:pPr>
      <w:r>
        <w:rPr/>
        <w:t>I</w:t>
      </w:r>
      <w:r>
        <w:rPr>
          <w:spacing w:val="-4"/>
        </w:rPr>
        <w:t> </w:t>
      </w:r>
      <w:r>
        <w:rPr/>
        <w:t>hope</w:t>
      </w:r>
      <w:r>
        <w:rPr>
          <w:spacing w:val="-5"/>
        </w:rPr>
        <w:t> </w:t>
      </w:r>
      <w:r>
        <w:rPr/>
        <w:t>this</w:t>
      </w:r>
      <w:r>
        <w:rPr>
          <w:spacing w:val="-2"/>
        </w:rPr>
        <w:t> </w:t>
      </w:r>
      <w:r>
        <w:rPr/>
        <w:t>information</w:t>
      </w:r>
      <w:r>
        <w:rPr>
          <w:spacing w:val="-2"/>
        </w:rPr>
        <w:t> </w:t>
      </w:r>
      <w:r>
        <w:rPr/>
        <w:t>is</w:t>
      </w:r>
      <w:r>
        <w:rPr>
          <w:spacing w:val="-4"/>
        </w:rPr>
        <w:t> </w:t>
      </w:r>
      <w:r>
        <w:rPr/>
        <w:t>useful</w:t>
      </w:r>
      <w:r>
        <w:rPr>
          <w:spacing w:val="-5"/>
        </w:rPr>
        <w:t> </w:t>
      </w:r>
      <w:r>
        <w:rPr/>
        <w:t>to</w:t>
      </w:r>
      <w:r>
        <w:rPr>
          <w:spacing w:val="-2"/>
        </w:rPr>
        <w:t> </w:t>
      </w:r>
      <w:r>
        <w:rPr/>
        <w:t>you.</w:t>
      </w:r>
      <w:r>
        <w:rPr>
          <w:spacing w:val="-2"/>
        </w:rPr>
        <w:t> </w:t>
      </w:r>
      <w:r>
        <w:rPr/>
        <w:t>Please</w:t>
      </w:r>
      <w:r>
        <w:rPr>
          <w:spacing w:val="-2"/>
        </w:rPr>
        <w:t> </w:t>
      </w:r>
      <w:r>
        <w:rPr/>
        <w:t>contact</w:t>
      </w:r>
      <w:r>
        <w:rPr>
          <w:spacing w:val="-4"/>
        </w:rPr>
        <w:t> </w:t>
      </w:r>
      <w:r>
        <w:rPr/>
        <w:t>me</w:t>
      </w:r>
      <w:r>
        <w:rPr>
          <w:spacing w:val="-5"/>
        </w:rPr>
        <w:t> </w:t>
      </w:r>
      <w:r>
        <w:rPr/>
        <w:t>if</w:t>
      </w:r>
      <w:r>
        <w:rPr>
          <w:spacing w:val="-4"/>
        </w:rPr>
        <w:t> </w:t>
      </w:r>
      <w:r>
        <w:rPr/>
        <w:t>you</w:t>
      </w:r>
      <w:r>
        <w:rPr>
          <w:spacing w:val="-5"/>
        </w:rPr>
        <w:t> </w:t>
      </w:r>
      <w:r>
        <w:rPr/>
        <w:t>have</w:t>
      </w:r>
      <w:r>
        <w:rPr>
          <w:spacing w:val="-2"/>
        </w:rPr>
        <w:t> </w:t>
      </w:r>
      <w:r>
        <w:rPr/>
        <w:t>further </w:t>
      </w:r>
      <w:r>
        <w:rPr>
          <w:spacing w:val="-2"/>
        </w:rPr>
        <w:t>questions.</w:t>
      </w:r>
    </w:p>
    <w:p>
      <w:pPr>
        <w:pStyle w:val="BodyText"/>
        <w:spacing w:before="261"/>
        <w:ind w:left="5300"/>
      </w:pPr>
      <w:r>
        <w:rPr/>
        <w:drawing>
          <wp:anchor distT="0" distB="0" distL="0" distR="0" allowOverlap="1" layoutInCell="1" locked="0" behindDoc="0" simplePos="0" relativeHeight="15730176">
            <wp:simplePos x="0" y="0"/>
            <wp:positionH relativeFrom="page">
              <wp:posOffset>4127360</wp:posOffset>
            </wp:positionH>
            <wp:positionV relativeFrom="paragraph">
              <wp:posOffset>349984</wp:posOffset>
            </wp:positionV>
            <wp:extent cx="1637804" cy="49133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1637804" cy="491337"/>
                    </a:xfrm>
                    <a:prstGeom prst="rect">
                      <a:avLst/>
                    </a:prstGeom>
                  </pic:spPr>
                </pic:pic>
              </a:graphicData>
            </a:graphic>
          </wp:anchor>
        </w:drawing>
      </w:r>
      <w:r>
        <w:rPr>
          <w:spacing w:val="-2"/>
        </w:rPr>
        <w:t>Sincerely,</w:t>
      </w:r>
    </w:p>
    <w:p>
      <w:pPr>
        <w:pStyle w:val="BodyText"/>
        <w:ind w:left="0"/>
      </w:pPr>
    </w:p>
    <w:p>
      <w:pPr>
        <w:pStyle w:val="BodyText"/>
        <w:spacing w:before="221"/>
        <w:ind w:left="0"/>
      </w:pPr>
    </w:p>
    <w:p>
      <w:pPr>
        <w:pStyle w:val="BodyText"/>
        <w:ind w:left="5300" w:right="1471" w:hanging="1"/>
      </w:pPr>
      <w:r>
        <w:rPr/>
        <w:t>Phillip</w:t>
      </w:r>
      <w:r>
        <w:rPr>
          <w:spacing w:val="-17"/>
        </w:rPr>
        <w:t> </w:t>
      </w:r>
      <w:r>
        <w:rPr/>
        <w:t>L.</w:t>
      </w:r>
      <w:r>
        <w:rPr>
          <w:spacing w:val="-16"/>
        </w:rPr>
        <w:t> </w:t>
      </w:r>
      <w:r>
        <w:rPr/>
        <w:t>Swagel </w:t>
      </w:r>
      <w:r>
        <w:rPr>
          <w:spacing w:val="-2"/>
        </w:rPr>
        <w:t>Director</w:t>
      </w:r>
    </w:p>
    <w:p>
      <w:pPr>
        <w:pStyle w:val="BodyText"/>
        <w:ind w:left="0"/>
      </w:pPr>
    </w:p>
    <w:p>
      <w:pPr>
        <w:pStyle w:val="BodyText"/>
        <w:spacing w:before="220"/>
        <w:ind w:left="0"/>
      </w:pPr>
    </w:p>
    <w:p>
      <w:pPr>
        <w:pStyle w:val="BodyText"/>
        <w:ind w:left="1432" w:right="4610" w:hanging="452"/>
      </w:pPr>
      <w:r>
        <w:rPr/>
        <w:t>cc:</w:t>
      </w:r>
      <w:r>
        <w:rPr>
          <w:spacing w:val="40"/>
        </w:rPr>
        <w:t> </w:t>
      </w:r>
      <w:r>
        <w:rPr/>
        <w:t>Honorable</w:t>
      </w:r>
      <w:r>
        <w:rPr>
          <w:spacing w:val="-8"/>
        </w:rPr>
        <w:t> </w:t>
      </w:r>
      <w:r>
        <w:rPr/>
        <w:t>Mike</w:t>
      </w:r>
      <w:r>
        <w:rPr>
          <w:spacing w:val="-11"/>
        </w:rPr>
        <w:t> </w:t>
      </w:r>
      <w:r>
        <w:rPr/>
        <w:t>Crapo </w:t>
      </w:r>
      <w:r>
        <w:rPr>
          <w:spacing w:val="-2"/>
        </w:rPr>
        <w:t>Chairman</w:t>
      </w:r>
    </w:p>
    <w:p>
      <w:pPr>
        <w:pStyle w:val="BodyText"/>
        <w:spacing w:before="2"/>
        <w:ind w:left="1432"/>
      </w:pPr>
      <w:r>
        <w:rPr/>
        <w:t>Senate</w:t>
      </w:r>
      <w:r>
        <w:rPr>
          <w:spacing w:val="-8"/>
        </w:rPr>
        <w:t> </w:t>
      </w:r>
      <w:r>
        <w:rPr/>
        <w:t>Committee</w:t>
      </w:r>
      <w:r>
        <w:rPr>
          <w:spacing w:val="-5"/>
        </w:rPr>
        <w:t> </w:t>
      </w:r>
      <w:r>
        <w:rPr/>
        <w:t>on</w:t>
      </w:r>
      <w:r>
        <w:rPr>
          <w:spacing w:val="-8"/>
        </w:rPr>
        <w:t> </w:t>
      </w:r>
      <w:r>
        <w:rPr>
          <w:spacing w:val="-2"/>
        </w:rPr>
        <w:t>Finance</w:t>
      </w:r>
    </w:p>
    <w:p>
      <w:pPr>
        <w:pStyle w:val="BodyText"/>
        <w:spacing w:before="258"/>
        <w:ind w:left="1432" w:right="4610"/>
      </w:pPr>
      <w:r>
        <w:rPr/>
        <w:t>Honorable</w:t>
      </w:r>
      <w:r>
        <w:rPr>
          <w:spacing w:val="-17"/>
        </w:rPr>
        <w:t> </w:t>
      </w:r>
      <w:r>
        <w:rPr/>
        <w:t>Brett</w:t>
      </w:r>
      <w:r>
        <w:rPr>
          <w:spacing w:val="-16"/>
        </w:rPr>
        <w:t> </w:t>
      </w:r>
      <w:r>
        <w:rPr/>
        <w:t>Guthrie </w:t>
      </w:r>
      <w:r>
        <w:rPr>
          <w:spacing w:val="-2"/>
        </w:rPr>
        <w:t>Chairman</w:t>
      </w:r>
    </w:p>
    <w:p>
      <w:pPr>
        <w:pStyle w:val="BodyText"/>
        <w:spacing w:before="1"/>
        <w:ind w:left="1432"/>
      </w:pPr>
      <w:r>
        <w:rPr/>
        <w:t>House</w:t>
      </w:r>
      <w:r>
        <w:rPr>
          <w:spacing w:val="-7"/>
        </w:rPr>
        <w:t> </w:t>
      </w:r>
      <w:r>
        <w:rPr/>
        <w:t>Committee</w:t>
      </w:r>
      <w:r>
        <w:rPr>
          <w:spacing w:val="-4"/>
        </w:rPr>
        <w:t> </w:t>
      </w:r>
      <w:r>
        <w:rPr/>
        <w:t>on</w:t>
      </w:r>
      <w:r>
        <w:rPr>
          <w:spacing w:val="-6"/>
        </w:rPr>
        <w:t> </w:t>
      </w:r>
      <w:r>
        <w:rPr/>
        <w:t>Energy</w:t>
      </w:r>
      <w:r>
        <w:rPr>
          <w:spacing w:val="-7"/>
        </w:rPr>
        <w:t> </w:t>
      </w:r>
      <w:r>
        <w:rPr/>
        <w:t>and</w:t>
      </w:r>
      <w:r>
        <w:rPr>
          <w:spacing w:val="-4"/>
        </w:rPr>
        <w:t> </w:t>
      </w:r>
      <w:r>
        <w:rPr>
          <w:spacing w:val="-2"/>
        </w:rPr>
        <w:t>Commerce</w:t>
      </w:r>
    </w:p>
    <w:sectPr>
      <w:pgSz w:w="12240" w:h="15840"/>
      <w:pgMar w:header="731" w:footer="0" w:top="1360" w:bottom="280" w:left="11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auto"/>
    <w:pitch w:val="default"/>
  </w:font>
  <w:font w:name="Arial">
    <w:altName w:val="Arial"/>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96864">
              <wp:simplePos x="0" y="0"/>
              <wp:positionH relativeFrom="page">
                <wp:posOffset>1358735</wp:posOffset>
              </wp:positionH>
              <wp:positionV relativeFrom="page">
                <wp:posOffset>451753</wp:posOffset>
              </wp:positionV>
              <wp:extent cx="3779520" cy="42608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79520" cy="426084"/>
                      </a:xfrm>
                      <a:prstGeom prst="rect">
                        <a:avLst/>
                      </a:prstGeom>
                    </wps:spPr>
                    <wps:txbx>
                      <w:txbxContent>
                        <w:p>
                          <w:pPr>
                            <w:pStyle w:val="BodyText"/>
                            <w:spacing w:line="276" w:lineRule="auto"/>
                            <w:ind w:left="20" w:right="18"/>
                          </w:pPr>
                          <w:r>
                            <w:rPr/>
                            <w:t>Honorable</w:t>
                          </w:r>
                          <w:r>
                            <w:rPr>
                              <w:spacing w:val="-5"/>
                            </w:rPr>
                            <w:t> </w:t>
                          </w:r>
                          <w:r>
                            <w:rPr/>
                            <w:t>Ron</w:t>
                          </w:r>
                          <w:r>
                            <w:rPr>
                              <w:spacing w:val="-7"/>
                            </w:rPr>
                            <w:t> </w:t>
                          </w:r>
                          <w:r>
                            <w:rPr/>
                            <w:t>Wyden</w:t>
                          </w:r>
                          <w:r>
                            <w:rPr>
                              <w:spacing w:val="-5"/>
                            </w:rPr>
                            <w:t> </w:t>
                          </w:r>
                          <w:r>
                            <w:rPr/>
                            <w:t>and</w:t>
                          </w:r>
                          <w:r>
                            <w:rPr>
                              <w:spacing w:val="-7"/>
                            </w:rPr>
                            <w:t> </w:t>
                          </w:r>
                          <w:r>
                            <w:rPr/>
                            <w:t>Honorable</w:t>
                          </w:r>
                          <w:r>
                            <w:rPr>
                              <w:spacing w:val="-7"/>
                            </w:rPr>
                            <w:t> </w:t>
                          </w:r>
                          <w:r>
                            <w:rPr/>
                            <w:t>Frank</w:t>
                          </w:r>
                          <w:r>
                            <w:rPr>
                              <w:spacing w:val="-5"/>
                            </w:rPr>
                            <w:t> </w:t>
                          </w:r>
                          <w:r>
                            <w:rPr/>
                            <w:t>Pallone,</w:t>
                          </w:r>
                          <w:r>
                            <w:rPr>
                              <w:spacing w:val="-7"/>
                            </w:rPr>
                            <w:t> </w:t>
                          </w:r>
                          <w:r>
                            <w:rPr/>
                            <w:t>Jr. Page </w:t>
                          </w:r>
                          <w:r>
                            <w:rPr/>
                            <w:fldChar w:fldCharType="begin"/>
                          </w:r>
                          <w:r>
                            <w:rPr/>
                            <w:instrText> PAGE </w:instrText>
                          </w:r>
                          <w:r>
                            <w:rPr/>
                            <w:fldChar w:fldCharType="separate"/>
                          </w:r>
                          <w:r>
                            <w:rPr/>
                            <w:t>2</w:t>
                          </w:r>
                          <w:r>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6.987038pt;margin-top:35.571171pt;width:297.6pt;height:33.550pt;mso-position-horizontal-relative:page;mso-position-vertical-relative:page;z-index:-15919616" type="#_x0000_t202" id="docshape1" filled="false" stroked="false">
              <v:textbox inset="0,0,0,0">
                <w:txbxContent>
                  <w:p>
                    <w:pPr>
                      <w:pStyle w:val="BodyText"/>
                      <w:spacing w:line="276" w:lineRule="auto"/>
                      <w:ind w:left="20" w:right="18"/>
                    </w:pPr>
                    <w:r>
                      <w:rPr/>
                      <w:t>Honorable</w:t>
                    </w:r>
                    <w:r>
                      <w:rPr>
                        <w:spacing w:val="-5"/>
                      </w:rPr>
                      <w:t> </w:t>
                    </w:r>
                    <w:r>
                      <w:rPr/>
                      <w:t>Ron</w:t>
                    </w:r>
                    <w:r>
                      <w:rPr>
                        <w:spacing w:val="-7"/>
                      </w:rPr>
                      <w:t> </w:t>
                    </w:r>
                    <w:r>
                      <w:rPr/>
                      <w:t>Wyden</w:t>
                    </w:r>
                    <w:r>
                      <w:rPr>
                        <w:spacing w:val="-5"/>
                      </w:rPr>
                      <w:t> </w:t>
                    </w:r>
                    <w:r>
                      <w:rPr/>
                      <w:t>and</w:t>
                    </w:r>
                    <w:r>
                      <w:rPr>
                        <w:spacing w:val="-7"/>
                      </w:rPr>
                      <w:t> </w:t>
                    </w:r>
                    <w:r>
                      <w:rPr/>
                      <w:t>Honorable</w:t>
                    </w:r>
                    <w:r>
                      <w:rPr>
                        <w:spacing w:val="-7"/>
                      </w:rPr>
                      <w:t> </w:t>
                    </w:r>
                    <w:r>
                      <w:rPr/>
                      <w:t>Frank</w:t>
                    </w:r>
                    <w:r>
                      <w:rPr>
                        <w:spacing w:val="-5"/>
                      </w:rPr>
                      <w:t> </w:t>
                    </w:r>
                    <w:r>
                      <w:rPr/>
                      <w:t>Pallone,</w:t>
                    </w:r>
                    <w:r>
                      <w:rPr>
                        <w:spacing w:val="-7"/>
                      </w:rPr>
                      <w:t> </w:t>
                    </w:r>
                    <w:r>
                      <w:rPr/>
                      <w:t>Jr. Page </w:t>
                    </w:r>
                    <w:r>
                      <w:rPr/>
                      <w:fldChar w:fldCharType="begin"/>
                    </w:r>
                    <w:r>
                      <w:rPr/>
                      <w:instrText> PAGE </w:instrText>
                    </w:r>
                    <w:r>
                      <w:rPr/>
                      <w:fldChar w:fldCharType="separate"/>
                    </w:r>
                    <w:r>
                      <w:rPr/>
                      <w:t>2</w:t>
                    </w:r>
                    <w:r>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53"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072" w:hanging="274"/>
      </w:pPr>
      <w:rPr>
        <w:rFonts w:hint="default"/>
        <w:lang w:val="en-US" w:eastAsia="en-US" w:bidi="ar-SA"/>
      </w:rPr>
    </w:lvl>
    <w:lvl w:ilvl="2">
      <w:start w:val="0"/>
      <w:numFmt w:val="bullet"/>
      <w:lvlText w:val="•"/>
      <w:lvlJc w:val="left"/>
      <w:pPr>
        <w:ind w:left="2884" w:hanging="274"/>
      </w:pPr>
      <w:rPr>
        <w:rFonts w:hint="default"/>
        <w:lang w:val="en-US" w:eastAsia="en-US" w:bidi="ar-SA"/>
      </w:rPr>
    </w:lvl>
    <w:lvl w:ilvl="3">
      <w:start w:val="0"/>
      <w:numFmt w:val="bullet"/>
      <w:lvlText w:val="•"/>
      <w:lvlJc w:val="left"/>
      <w:pPr>
        <w:ind w:left="3696" w:hanging="274"/>
      </w:pPr>
      <w:rPr>
        <w:rFonts w:hint="default"/>
        <w:lang w:val="en-US" w:eastAsia="en-US" w:bidi="ar-SA"/>
      </w:rPr>
    </w:lvl>
    <w:lvl w:ilvl="4">
      <w:start w:val="0"/>
      <w:numFmt w:val="bullet"/>
      <w:lvlText w:val="•"/>
      <w:lvlJc w:val="left"/>
      <w:pPr>
        <w:ind w:left="4508" w:hanging="274"/>
      </w:pPr>
      <w:rPr>
        <w:rFonts w:hint="default"/>
        <w:lang w:val="en-US" w:eastAsia="en-US" w:bidi="ar-SA"/>
      </w:rPr>
    </w:lvl>
    <w:lvl w:ilvl="5">
      <w:start w:val="0"/>
      <w:numFmt w:val="bullet"/>
      <w:lvlText w:val="•"/>
      <w:lvlJc w:val="left"/>
      <w:pPr>
        <w:ind w:left="5320" w:hanging="274"/>
      </w:pPr>
      <w:rPr>
        <w:rFonts w:hint="default"/>
        <w:lang w:val="en-US" w:eastAsia="en-US" w:bidi="ar-SA"/>
      </w:rPr>
    </w:lvl>
    <w:lvl w:ilvl="6">
      <w:start w:val="0"/>
      <w:numFmt w:val="bullet"/>
      <w:lvlText w:val="•"/>
      <w:lvlJc w:val="left"/>
      <w:pPr>
        <w:ind w:left="6132" w:hanging="274"/>
      </w:pPr>
      <w:rPr>
        <w:rFonts w:hint="default"/>
        <w:lang w:val="en-US" w:eastAsia="en-US" w:bidi="ar-SA"/>
      </w:rPr>
    </w:lvl>
    <w:lvl w:ilvl="7">
      <w:start w:val="0"/>
      <w:numFmt w:val="bullet"/>
      <w:lvlText w:val="•"/>
      <w:lvlJc w:val="left"/>
      <w:pPr>
        <w:ind w:left="6944" w:hanging="274"/>
      </w:pPr>
      <w:rPr>
        <w:rFonts w:hint="default"/>
        <w:lang w:val="en-US" w:eastAsia="en-US" w:bidi="ar-SA"/>
      </w:rPr>
    </w:lvl>
    <w:lvl w:ilvl="8">
      <w:start w:val="0"/>
      <w:numFmt w:val="bullet"/>
      <w:lvlText w:val="•"/>
      <w:lvlJc w:val="left"/>
      <w:pPr>
        <w:ind w:left="7756" w:hanging="274"/>
      </w:pPr>
      <w:rPr>
        <w:rFonts w:hint="default"/>
        <w:lang w:val="en-US" w:eastAsia="en-US" w:bidi="ar-SA"/>
      </w:rPr>
    </w:lvl>
  </w:abstractNum>
  <w:abstractNum w:abstractNumId="2">
    <w:multiLevelType w:val="hybridMultilevel"/>
    <w:lvl w:ilvl="0">
      <w:start w:val="1"/>
      <w:numFmt w:val="lowerLetter"/>
      <w:lvlText w:val="%1."/>
      <w:lvlJc w:val="left"/>
      <w:pPr>
        <w:ind w:left="316" w:hanging="260"/>
        <w:jc w:val="left"/>
      </w:pPr>
      <w:rPr>
        <w:rFonts w:hint="default" w:ascii="Arial Narrow" w:hAnsi="Arial Narrow" w:eastAsia="Arial Narrow" w:cs="Arial Narrow"/>
        <w:b w:val="0"/>
        <w:bCs w:val="0"/>
        <w:i w:val="0"/>
        <w:iCs w:val="0"/>
        <w:spacing w:val="0"/>
        <w:w w:val="100"/>
        <w:sz w:val="16"/>
        <w:szCs w:val="16"/>
        <w:lang w:val="en-US" w:eastAsia="en-US" w:bidi="ar-SA"/>
      </w:rPr>
    </w:lvl>
    <w:lvl w:ilvl="1">
      <w:start w:val="0"/>
      <w:numFmt w:val="bullet"/>
      <w:lvlText w:val="•"/>
      <w:lvlJc w:val="left"/>
      <w:pPr>
        <w:ind w:left="1107" w:hanging="260"/>
      </w:pPr>
      <w:rPr>
        <w:rFonts w:hint="default"/>
        <w:lang w:val="en-US" w:eastAsia="en-US" w:bidi="ar-SA"/>
      </w:rPr>
    </w:lvl>
    <w:lvl w:ilvl="2">
      <w:start w:val="0"/>
      <w:numFmt w:val="bullet"/>
      <w:lvlText w:val="•"/>
      <w:lvlJc w:val="left"/>
      <w:pPr>
        <w:ind w:left="1895" w:hanging="260"/>
      </w:pPr>
      <w:rPr>
        <w:rFonts w:hint="default"/>
        <w:lang w:val="en-US" w:eastAsia="en-US" w:bidi="ar-SA"/>
      </w:rPr>
    </w:lvl>
    <w:lvl w:ilvl="3">
      <w:start w:val="0"/>
      <w:numFmt w:val="bullet"/>
      <w:lvlText w:val="•"/>
      <w:lvlJc w:val="left"/>
      <w:pPr>
        <w:ind w:left="2682" w:hanging="260"/>
      </w:pPr>
      <w:rPr>
        <w:rFonts w:hint="default"/>
        <w:lang w:val="en-US" w:eastAsia="en-US" w:bidi="ar-SA"/>
      </w:rPr>
    </w:lvl>
    <w:lvl w:ilvl="4">
      <w:start w:val="0"/>
      <w:numFmt w:val="bullet"/>
      <w:lvlText w:val="•"/>
      <w:lvlJc w:val="left"/>
      <w:pPr>
        <w:ind w:left="3470" w:hanging="260"/>
      </w:pPr>
      <w:rPr>
        <w:rFonts w:hint="default"/>
        <w:lang w:val="en-US" w:eastAsia="en-US" w:bidi="ar-SA"/>
      </w:rPr>
    </w:lvl>
    <w:lvl w:ilvl="5">
      <w:start w:val="0"/>
      <w:numFmt w:val="bullet"/>
      <w:lvlText w:val="•"/>
      <w:lvlJc w:val="left"/>
      <w:pPr>
        <w:ind w:left="4257" w:hanging="260"/>
      </w:pPr>
      <w:rPr>
        <w:rFonts w:hint="default"/>
        <w:lang w:val="en-US" w:eastAsia="en-US" w:bidi="ar-SA"/>
      </w:rPr>
    </w:lvl>
    <w:lvl w:ilvl="6">
      <w:start w:val="0"/>
      <w:numFmt w:val="bullet"/>
      <w:lvlText w:val="•"/>
      <w:lvlJc w:val="left"/>
      <w:pPr>
        <w:ind w:left="5045" w:hanging="260"/>
      </w:pPr>
      <w:rPr>
        <w:rFonts w:hint="default"/>
        <w:lang w:val="en-US" w:eastAsia="en-US" w:bidi="ar-SA"/>
      </w:rPr>
    </w:lvl>
    <w:lvl w:ilvl="7">
      <w:start w:val="0"/>
      <w:numFmt w:val="bullet"/>
      <w:lvlText w:val="•"/>
      <w:lvlJc w:val="left"/>
      <w:pPr>
        <w:ind w:left="5832" w:hanging="260"/>
      </w:pPr>
      <w:rPr>
        <w:rFonts w:hint="default"/>
        <w:lang w:val="en-US" w:eastAsia="en-US" w:bidi="ar-SA"/>
      </w:rPr>
    </w:lvl>
    <w:lvl w:ilvl="8">
      <w:start w:val="0"/>
      <w:numFmt w:val="bullet"/>
      <w:lvlText w:val="•"/>
      <w:lvlJc w:val="left"/>
      <w:pPr>
        <w:ind w:left="6620" w:hanging="260"/>
      </w:pPr>
      <w:rPr>
        <w:rFonts w:hint="default"/>
        <w:lang w:val="en-US" w:eastAsia="en-US" w:bidi="ar-SA"/>
      </w:rPr>
    </w:lvl>
  </w:abstractNum>
  <w:abstractNum w:abstractNumId="0">
    <w:multiLevelType w:val="hybridMultilevel"/>
    <w:lvl w:ilvl="0">
      <w:start w:val="0"/>
      <w:numFmt w:val="bullet"/>
      <w:lvlText w:val=""/>
      <w:lvlJc w:val="left"/>
      <w:pPr>
        <w:ind w:left="1699" w:hanging="361"/>
      </w:pPr>
      <w:rPr>
        <w:rFonts w:hint="default" w:ascii="Symbol" w:hAnsi="Symbol" w:eastAsia="Symbol" w:cs="Symbol"/>
        <w:b w:val="0"/>
        <w:bCs w:val="0"/>
        <w:i w:val="0"/>
        <w:iCs w:val="0"/>
        <w:spacing w:val="0"/>
        <w:w w:val="99"/>
        <w:sz w:val="26"/>
        <w:szCs w:val="26"/>
        <w:lang w:val="en-US" w:eastAsia="en-US" w:bidi="ar-SA"/>
      </w:rPr>
    </w:lvl>
    <w:lvl w:ilvl="1">
      <w:start w:val="0"/>
      <w:numFmt w:val="bullet"/>
      <w:lvlText w:val="•"/>
      <w:lvlJc w:val="left"/>
      <w:pPr>
        <w:ind w:left="2468" w:hanging="361"/>
      </w:pPr>
      <w:rPr>
        <w:rFonts w:hint="default"/>
        <w:lang w:val="en-US" w:eastAsia="en-US" w:bidi="ar-SA"/>
      </w:rPr>
    </w:lvl>
    <w:lvl w:ilvl="2">
      <w:start w:val="0"/>
      <w:numFmt w:val="bullet"/>
      <w:lvlText w:val="•"/>
      <w:lvlJc w:val="left"/>
      <w:pPr>
        <w:ind w:left="3236" w:hanging="361"/>
      </w:pPr>
      <w:rPr>
        <w:rFonts w:hint="default"/>
        <w:lang w:val="en-US" w:eastAsia="en-US" w:bidi="ar-SA"/>
      </w:rPr>
    </w:lvl>
    <w:lvl w:ilvl="3">
      <w:start w:val="0"/>
      <w:numFmt w:val="bullet"/>
      <w:lvlText w:val="•"/>
      <w:lvlJc w:val="left"/>
      <w:pPr>
        <w:ind w:left="4004" w:hanging="361"/>
      </w:pPr>
      <w:rPr>
        <w:rFonts w:hint="default"/>
        <w:lang w:val="en-US" w:eastAsia="en-US" w:bidi="ar-SA"/>
      </w:rPr>
    </w:lvl>
    <w:lvl w:ilvl="4">
      <w:start w:val="0"/>
      <w:numFmt w:val="bullet"/>
      <w:lvlText w:val="•"/>
      <w:lvlJc w:val="left"/>
      <w:pPr>
        <w:ind w:left="4772" w:hanging="361"/>
      </w:pPr>
      <w:rPr>
        <w:rFonts w:hint="default"/>
        <w:lang w:val="en-US" w:eastAsia="en-US" w:bidi="ar-SA"/>
      </w:rPr>
    </w:lvl>
    <w:lvl w:ilvl="5">
      <w:start w:val="0"/>
      <w:numFmt w:val="bullet"/>
      <w:lvlText w:val="•"/>
      <w:lvlJc w:val="left"/>
      <w:pPr>
        <w:ind w:left="5540" w:hanging="361"/>
      </w:pPr>
      <w:rPr>
        <w:rFonts w:hint="default"/>
        <w:lang w:val="en-US" w:eastAsia="en-US" w:bidi="ar-SA"/>
      </w:rPr>
    </w:lvl>
    <w:lvl w:ilvl="6">
      <w:start w:val="0"/>
      <w:numFmt w:val="bullet"/>
      <w:lvlText w:val="•"/>
      <w:lvlJc w:val="left"/>
      <w:pPr>
        <w:ind w:left="6308" w:hanging="361"/>
      </w:pPr>
      <w:rPr>
        <w:rFonts w:hint="default"/>
        <w:lang w:val="en-US" w:eastAsia="en-US" w:bidi="ar-SA"/>
      </w:rPr>
    </w:lvl>
    <w:lvl w:ilvl="7">
      <w:start w:val="0"/>
      <w:numFmt w:val="bullet"/>
      <w:lvlText w:val="•"/>
      <w:lvlJc w:val="left"/>
      <w:pPr>
        <w:ind w:left="7076" w:hanging="361"/>
      </w:pPr>
      <w:rPr>
        <w:rFonts w:hint="default"/>
        <w:lang w:val="en-US" w:eastAsia="en-US" w:bidi="ar-SA"/>
      </w:rPr>
    </w:lvl>
    <w:lvl w:ilvl="8">
      <w:start w:val="0"/>
      <w:numFmt w:val="bullet"/>
      <w:lvlText w:val="•"/>
      <w:lvlJc w:val="left"/>
      <w:pPr>
        <w:ind w:left="7844" w:hanging="361"/>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979"/>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spacing w:before="261"/>
      <w:ind w:left="979"/>
      <w:outlineLvl w:val="1"/>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spacing w:before="118"/>
      <w:ind w:left="169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cbo.gov/" TargetMode="External"/><Relationship Id="rId7" Type="http://schemas.openxmlformats.org/officeDocument/2006/relationships/header" Target="header1.xml"/><Relationship Id="rId8" Type="http://schemas.openxmlformats.org/officeDocument/2006/relationships/hyperlink" Target="http://www.cbo.gov/publication/60557" TargetMode="External"/><Relationship Id="rId9" Type="http://schemas.openxmlformats.org/officeDocument/2006/relationships/hyperlink" Target="https://tinyurl.com/3acjh37m" TargetMode="External"/><Relationship Id="rId10" Type="http://schemas.openxmlformats.org/officeDocument/2006/relationships/hyperlink" Target="https://tinyurl.com/2up3bvw4" TargetMode="External"/><Relationship Id="rId11" Type="http://schemas.openxmlformats.org/officeDocument/2006/relationships/hyperlink" Target="https://tinyurl.com/y9ebx2pt" TargetMode="External"/><Relationship Id="rId12" Type="http://schemas.openxmlformats.org/officeDocument/2006/relationships/image" Target="media/image2.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Congressional Budget Office</dc:creator>
  <dc:title>Wyden-Pallone Letter_Medicaid_5-7-25</dc:title>
  <dcterms:created xsi:type="dcterms:W3CDTF">2025-05-11T05:22:04Z</dcterms:created>
  <dcterms:modified xsi:type="dcterms:W3CDTF">2025-05-11T05:22:04Z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0x01010024F758FDF583AB46A6B0D8F1616FCF80</vt:lpwstr>
  </property>
  <property fmtid="{D5CDD505-2E9C-101B-9397-08002B2CF9AE}" pid="3" name="Created">
    <vt:filetime>2025-05-06T00:00:00Z</vt:filetime>
  </property>
  <property fmtid="{D5CDD505-2E9C-101B-9397-08002B2CF9AE}" pid="4" name="Creator">
    <vt:lpwstr>Acrobat PDFMaker 25 for Word</vt:lpwstr>
  </property>
  <property fmtid="{D5CDD505-2E9C-101B-9397-08002B2CF9AE}" pid="5" name="LastSaved">
    <vt:filetime>2025-05-11T00:00:00Z</vt:filetime>
  </property>
  <property fmtid="{D5CDD505-2E9C-101B-9397-08002B2CF9AE}" pid="6" name="Order">
    <vt:lpwstr>500.000000</vt:lpwstr>
  </property>
  <property fmtid="{D5CDD505-2E9C-101B-9397-08002B2CF9AE}" pid="7" name="Producer">
    <vt:lpwstr>Adobe PDF Library 25.1.250; modified using iText 2.1.7 by 1T3XT</vt:lpwstr>
  </property>
  <property fmtid="{D5CDD505-2E9C-101B-9397-08002B2CF9AE}" pid="8" name="SourceModified">
    <vt:lpwstr>D:20250506194204</vt:lpwstr>
  </property>
  <property fmtid="{D5CDD505-2E9C-101B-9397-08002B2CF9AE}" pid="9" name="_dlc_DocIdItemGuid">
    <vt:lpwstr>358893d9-ae59-4559-ae03-70ee21d2d945</vt:lpwstr>
  </property>
</Properties>
</file>