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tl w:val="0"/>
        </w:rPr>
        <w:t xml:space="preserve">March 28, 2025</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Consortium for Constituents with Disabilities’ Task Force Co-Chairs </w:t>
      </w:r>
    </w:p>
    <w:p w:rsidR="00000000" w:rsidDel="00000000" w:rsidP="00000000" w:rsidRDefault="00000000" w:rsidRPr="00000000" w14:paraId="00000004">
      <w:pPr>
        <w:jc w:val="center"/>
        <w:rPr>
          <w:sz w:val="24"/>
          <w:szCs w:val="24"/>
        </w:rPr>
      </w:pPr>
      <w:r w:rsidDel="00000000" w:rsidR="00000000" w:rsidRPr="00000000">
        <w:rPr>
          <w:b w:val="1"/>
          <w:sz w:val="24"/>
          <w:szCs w:val="24"/>
          <w:rtl w:val="0"/>
        </w:rPr>
        <w:t xml:space="preserve">Statement on</w:t>
      </w:r>
      <w:r w:rsidDel="00000000" w:rsidR="00000000" w:rsidRPr="00000000">
        <w:rPr>
          <w:b w:val="1"/>
          <w:sz w:val="24"/>
          <w:szCs w:val="24"/>
          <w:rtl w:val="0"/>
        </w:rPr>
        <w:t xml:space="preserve"> the Reduction in Force at the Department of Health and Human Services and Efforts to Dismantle the Administration of Community Living</w:t>
      </w:r>
      <w:r w:rsidDel="00000000" w:rsidR="00000000" w:rsidRPr="00000000">
        <w:rPr>
          <w:rtl w:val="0"/>
        </w:rPr>
      </w:r>
    </w:p>
    <w:p w:rsidR="00000000" w:rsidDel="00000000" w:rsidP="00000000" w:rsidRDefault="00000000" w:rsidRPr="00000000" w14:paraId="00000005">
      <w:pPr>
        <w:spacing w:before="240" w:line="276" w:lineRule="auto"/>
        <w:rPr>
          <w:sz w:val="28"/>
          <w:szCs w:val="28"/>
        </w:rPr>
      </w:pPr>
      <w:r w:rsidDel="00000000" w:rsidR="00000000" w:rsidRPr="00000000">
        <w:rPr>
          <w:sz w:val="24"/>
          <w:szCs w:val="24"/>
          <w:highlight w:val="white"/>
          <w:rtl w:val="0"/>
        </w:rPr>
        <w:t xml:space="preserve">The Consortium for Constituents with Disabilities (CCD) is the largest coalition of national organizations working together to advocate for federal public policy that ensures the self-determination, independence, empowerment, integration, and inclusion of children and adults with disabilities in all aspects of society</w:t>
      </w: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The undersigned co-chairs of the Task Forces of the Consortium for Constituents with Disabilities are alarmed by the </w:t>
      </w:r>
      <w:hyperlink r:id="rId6">
        <w:r w:rsidDel="00000000" w:rsidR="00000000" w:rsidRPr="00000000">
          <w:rPr>
            <w:color w:val="1155cc"/>
            <w:sz w:val="24"/>
            <w:szCs w:val="24"/>
            <w:u w:val="single"/>
            <w:rtl w:val="0"/>
          </w:rPr>
          <w:t xml:space="preserve">announcement of widespread cuts</w:t>
        </w:r>
      </w:hyperlink>
      <w:r w:rsidDel="00000000" w:rsidR="00000000" w:rsidRPr="00000000">
        <w:rPr>
          <w:sz w:val="24"/>
          <w:szCs w:val="24"/>
          <w:rtl w:val="0"/>
        </w:rPr>
        <w:t xml:space="preserve"> to the Department of Health and Human Services (HHS). We are dismayed that the essential programs in the Administration for Community Living (ACL) will be split across multiple agencies. At the same time, both the Substance Abuse and Mental Health Administration (SAMHSA) and Health Resources and Services Administration (HRSA) will be moved into the “Administration for a Healthy America.” These changes risk eroding years of bipartisan efforts to support the inclusion and well-being of people with disabilities.</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highlight w:val="white"/>
          <w:rtl w:val="0"/>
        </w:rPr>
        <w:t xml:space="preserve">ACL was established to coordinate efforts to advance the independence and inclusion of people with disabilities and older adults and improve their access to community living. ACL helps implement Home and Community Based Services (HCBS) and support programs for families and caregivers; it oversees the Developmental Disabilities Councils and Centers for Independent Living, delivering support across the states and in every hometown; it funds </w:t>
      </w:r>
      <w:r w:rsidDel="00000000" w:rsidR="00000000" w:rsidRPr="00000000">
        <w:rPr>
          <w:sz w:val="24"/>
          <w:szCs w:val="24"/>
          <w:rtl w:val="0"/>
        </w:rPr>
        <w:t xml:space="preserve">innovative research on the needs of people with disabilities; and it protects people with disabilities from abuse and neglect. The responsibilities of ACL are core to CCD’s mission. Nothing in</w:t>
      </w:r>
      <w:r w:rsidDel="00000000" w:rsidR="00000000" w:rsidRPr="00000000">
        <w:rPr>
          <w:sz w:val="24"/>
          <w:szCs w:val="24"/>
          <w:rtl w:val="0"/>
        </w:rPr>
        <w:t xml:space="preserve"> yesterday’s </w:t>
      </w:r>
      <w:r w:rsidDel="00000000" w:rsidR="00000000" w:rsidRPr="00000000">
        <w:rPr>
          <w:sz w:val="24"/>
          <w:szCs w:val="24"/>
          <w:rtl w:val="0"/>
        </w:rPr>
        <w:t xml:space="preserve">announcement outlined how these and the other critical functions of the Administration for Community Living will be absorbed into other administrations or agencies. In the agency’s absence, we are deeply concerned about what this means for the health, safety, well-being, and independence of people with disabilities and older adults, their families, and their caregivers.</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Similarly, we cannot see how folding the Substance Abuse and Mental Health Administration (SAMHSA) into a new administration, in conjunction with the proposed more than </w:t>
      </w:r>
      <w:hyperlink r:id="rId7">
        <w:r w:rsidDel="00000000" w:rsidR="00000000" w:rsidRPr="00000000">
          <w:rPr>
            <w:color w:val="1155cc"/>
            <w:sz w:val="24"/>
            <w:szCs w:val="24"/>
            <w:u w:val="single"/>
            <w:rtl w:val="0"/>
          </w:rPr>
          <w:t xml:space="preserve">50% reduction in staff</w:t>
        </w:r>
      </w:hyperlink>
      <w:r w:rsidDel="00000000" w:rsidR="00000000" w:rsidRPr="00000000">
        <w:rPr>
          <w:sz w:val="24"/>
          <w:szCs w:val="24"/>
          <w:rtl w:val="0"/>
        </w:rPr>
        <w:t xml:space="preserve">, can do anything but undermine supports for people with mental health disabilities and substance use disorders (SUD). Through its guidance and oversight of grants, SAMHSA’s work prevents death by suicide and overdoses, supports people with mental health disabilities and substance use disorders to live in the community, and protects individuals with mental health disabilities from abuse and neglect.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HRSA provides healthcare for underserved populations, including those with disabilities. It oversees programs that improve health care providers’ expertise, skills, and competency to provide quality care for people with neurodevelopmental disabilities. HRSA also funds Family-to-Family Health Information Centers that help families navigate challenges involving health, education, and social services for children with special health care needs. HRSA also conducts critical research on the best standards of care, including the physical, behavioral, and communication needs of autistic people.</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highlight w:val="white"/>
        </w:rPr>
      </w:pPr>
      <w:r w:rsidDel="00000000" w:rsidR="00000000" w:rsidRPr="00000000">
        <w:rPr>
          <w:sz w:val="24"/>
          <w:szCs w:val="24"/>
          <w:rtl w:val="0"/>
        </w:rPr>
        <w:t xml:space="preserve">Last,</w:t>
      </w:r>
      <w:r w:rsidDel="00000000" w:rsidR="00000000" w:rsidRPr="00000000">
        <w:rPr>
          <w:sz w:val="24"/>
          <w:szCs w:val="24"/>
          <w:highlight w:val="white"/>
          <w:rtl w:val="0"/>
        </w:rPr>
        <w:t xml:space="preserve"> we are deeply troubled that the proposed changes could undermine the Office for Civil Rights (OCR)’s ability to enforce civil rights. OCR plays an important role in ensuring that health care services and programs are available to people with disabilities, free from discrimination. </w:t>
      </w:r>
      <w:r w:rsidDel="00000000" w:rsidR="00000000" w:rsidRPr="00000000">
        <w:rPr>
          <w:rtl w:val="0"/>
        </w:rPr>
      </w:r>
    </w:p>
    <w:p w:rsidR="00000000" w:rsidDel="00000000" w:rsidP="00000000" w:rsidRDefault="00000000" w:rsidRPr="00000000" w14:paraId="00000010">
      <w:pPr>
        <w:rPr>
          <w:color w:val="393939"/>
          <w:sz w:val="27"/>
          <w:szCs w:val="27"/>
          <w:highlight w:val="white"/>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Dismantling ACL and folding SAMHSA and HRSA into a larger agency puts the needs and health of people with disabilities at unnecessary risk. Community living is both a right and a means to improve health outcomes. We need guarantees that people with disabilities, older adults, their families, their caregivers, and direct care workers will continue to receive the support and services provided by these agencies and that stakeholders are given seats at the table to uphold that promise. We cannot afford to move backward after all the progress that has been made to advance the health, independence, and integration of people with disabilities. For more information, please contact John Poulos (jpoulos@autisticadvocacy.org) or Jennifer Lav (lav@healthlaw.org).</w:t>
      </w:r>
    </w:p>
    <w:p w:rsidR="00000000" w:rsidDel="00000000" w:rsidP="00000000" w:rsidRDefault="00000000" w:rsidRPr="00000000" w14:paraId="00000012">
      <w:pPr>
        <w:ind w:left="1440" w:firstLine="0"/>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Sincerely,</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John Poulos</w:t>
      </w:r>
    </w:p>
    <w:p w:rsidR="00000000" w:rsidDel="00000000" w:rsidP="00000000" w:rsidRDefault="00000000" w:rsidRPr="00000000" w14:paraId="00000016">
      <w:pPr>
        <w:rPr>
          <w:sz w:val="24"/>
          <w:szCs w:val="24"/>
        </w:rPr>
      </w:pPr>
      <w:r w:rsidDel="00000000" w:rsidR="00000000" w:rsidRPr="00000000">
        <w:rPr>
          <w:sz w:val="24"/>
          <w:szCs w:val="24"/>
          <w:rtl w:val="0"/>
        </w:rPr>
        <w:t xml:space="preserve">Autistic Self Advocacy Network </w:t>
      </w:r>
    </w:p>
    <w:p w:rsidR="00000000" w:rsidDel="00000000" w:rsidP="00000000" w:rsidRDefault="00000000" w:rsidRPr="00000000" w14:paraId="00000017">
      <w:pPr>
        <w:rPr>
          <w:sz w:val="24"/>
          <w:szCs w:val="24"/>
        </w:rPr>
      </w:pPr>
      <w:r w:rsidDel="00000000" w:rsidR="00000000" w:rsidRPr="00000000">
        <w:rPr>
          <w:sz w:val="24"/>
          <w:szCs w:val="24"/>
          <w:rtl w:val="0"/>
        </w:rPr>
        <w:t xml:space="preserve">Co-chair, Developmental Disabilities, Autism, and Family Support Task Force</w:t>
      </w:r>
    </w:p>
    <w:p w:rsidR="00000000" w:rsidDel="00000000" w:rsidP="00000000" w:rsidRDefault="00000000" w:rsidRPr="00000000" w14:paraId="00000018">
      <w:pPr>
        <w:rPr>
          <w:sz w:val="24"/>
          <w:szCs w:val="24"/>
        </w:rPr>
      </w:pPr>
      <w:r w:rsidDel="00000000" w:rsidR="00000000" w:rsidRPr="00000000">
        <w:rPr>
          <w:sz w:val="24"/>
          <w:szCs w:val="24"/>
          <w:rtl w:val="0"/>
        </w:rPr>
        <w:t xml:space="preserve">Erin Prangley</w:t>
      </w:r>
    </w:p>
    <w:p w:rsidR="00000000" w:rsidDel="00000000" w:rsidP="00000000" w:rsidRDefault="00000000" w:rsidRPr="00000000" w14:paraId="00000019">
      <w:pPr>
        <w:ind w:left="0" w:firstLine="0"/>
        <w:rPr>
          <w:sz w:val="24"/>
          <w:szCs w:val="24"/>
        </w:rPr>
      </w:pPr>
      <w:r w:rsidDel="00000000" w:rsidR="00000000" w:rsidRPr="00000000">
        <w:rPr>
          <w:sz w:val="24"/>
          <w:szCs w:val="24"/>
          <w:rtl w:val="0"/>
        </w:rPr>
        <w:t xml:space="preserve">National Association of Councils on Developmental Disabilities  </w:t>
      </w:r>
    </w:p>
    <w:p w:rsidR="00000000" w:rsidDel="00000000" w:rsidP="00000000" w:rsidRDefault="00000000" w:rsidRPr="00000000" w14:paraId="0000001A">
      <w:pPr>
        <w:rPr>
          <w:sz w:val="24"/>
          <w:szCs w:val="24"/>
        </w:rPr>
      </w:pPr>
      <w:r w:rsidDel="00000000" w:rsidR="00000000" w:rsidRPr="00000000">
        <w:rPr>
          <w:sz w:val="24"/>
          <w:szCs w:val="24"/>
          <w:rtl w:val="0"/>
        </w:rPr>
        <w:t xml:space="preserve">Co-Developmental Disability, Autism, and Family Supports Task Force</w:t>
      </w:r>
    </w:p>
    <w:p w:rsidR="00000000" w:rsidDel="00000000" w:rsidP="00000000" w:rsidRDefault="00000000" w:rsidRPr="00000000" w14:paraId="0000001B">
      <w:pPr>
        <w:ind w:left="0" w:firstLine="0"/>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Delancy Allred</w:t>
      </w:r>
    </w:p>
    <w:p w:rsidR="00000000" w:rsidDel="00000000" w:rsidP="00000000" w:rsidRDefault="00000000" w:rsidRPr="00000000" w14:paraId="0000001D">
      <w:pPr>
        <w:rPr>
          <w:sz w:val="24"/>
          <w:szCs w:val="24"/>
        </w:rPr>
      </w:pPr>
      <w:r w:rsidDel="00000000" w:rsidR="00000000" w:rsidRPr="00000000">
        <w:rPr>
          <w:sz w:val="24"/>
          <w:szCs w:val="24"/>
          <w:rtl w:val="0"/>
        </w:rPr>
        <w:t xml:space="preserve">Autism Society of America</w:t>
      </w:r>
    </w:p>
    <w:p w:rsidR="00000000" w:rsidDel="00000000" w:rsidP="00000000" w:rsidRDefault="00000000" w:rsidRPr="00000000" w14:paraId="0000001E">
      <w:pPr>
        <w:rPr>
          <w:sz w:val="24"/>
          <w:szCs w:val="24"/>
        </w:rPr>
      </w:pPr>
      <w:r w:rsidDel="00000000" w:rsidR="00000000" w:rsidRPr="00000000">
        <w:rPr>
          <w:sz w:val="24"/>
          <w:szCs w:val="24"/>
          <w:rtl w:val="0"/>
        </w:rPr>
        <w:t xml:space="preserve">Co-chair, Education Task Force</w:t>
      </w:r>
    </w:p>
    <w:p w:rsidR="00000000" w:rsidDel="00000000" w:rsidP="00000000" w:rsidRDefault="00000000" w:rsidRPr="00000000" w14:paraId="0000001F">
      <w:pPr>
        <w:ind w:left="0" w:firstLine="0"/>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Robyn Linscott</w:t>
      </w:r>
    </w:p>
    <w:p w:rsidR="00000000" w:rsidDel="00000000" w:rsidP="00000000" w:rsidRDefault="00000000" w:rsidRPr="00000000" w14:paraId="00000021">
      <w:pPr>
        <w:rPr>
          <w:sz w:val="24"/>
          <w:szCs w:val="24"/>
        </w:rPr>
      </w:pPr>
      <w:r w:rsidDel="00000000" w:rsidR="00000000" w:rsidRPr="00000000">
        <w:rPr>
          <w:sz w:val="24"/>
          <w:szCs w:val="24"/>
          <w:rtl w:val="0"/>
        </w:rPr>
        <w:t xml:space="preserve">The Arc of the United States</w:t>
      </w:r>
    </w:p>
    <w:p w:rsidR="00000000" w:rsidDel="00000000" w:rsidP="00000000" w:rsidRDefault="00000000" w:rsidRPr="00000000" w14:paraId="00000022">
      <w:pPr>
        <w:rPr>
          <w:sz w:val="24"/>
          <w:szCs w:val="24"/>
        </w:rPr>
      </w:pPr>
      <w:r w:rsidDel="00000000" w:rsidR="00000000" w:rsidRPr="00000000">
        <w:rPr>
          <w:sz w:val="24"/>
          <w:szCs w:val="24"/>
          <w:rtl w:val="0"/>
        </w:rPr>
        <w:t xml:space="preserve">Co-chair, Education Task Force</w:t>
      </w:r>
    </w:p>
    <w:p w:rsidR="00000000" w:rsidDel="00000000" w:rsidP="00000000" w:rsidRDefault="00000000" w:rsidRPr="00000000" w14:paraId="00000023">
      <w:pPr>
        <w:ind w:left="0" w:firstLine="0"/>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24"/>
          <w:szCs w:val="24"/>
          <w:rtl w:val="0"/>
        </w:rPr>
        <w:t xml:space="preserve">Stephanie Flynt McEben</w:t>
      </w:r>
    </w:p>
    <w:p w:rsidR="00000000" w:rsidDel="00000000" w:rsidP="00000000" w:rsidRDefault="00000000" w:rsidRPr="00000000" w14:paraId="00000025">
      <w:pPr>
        <w:rPr>
          <w:sz w:val="24"/>
          <w:szCs w:val="24"/>
        </w:rPr>
      </w:pPr>
      <w:r w:rsidDel="00000000" w:rsidR="00000000" w:rsidRPr="00000000">
        <w:rPr>
          <w:sz w:val="24"/>
          <w:szCs w:val="24"/>
          <w:rtl w:val="0"/>
        </w:rPr>
        <w:t xml:space="preserve">National Disability Rights Network</w:t>
      </w:r>
    </w:p>
    <w:p w:rsidR="00000000" w:rsidDel="00000000" w:rsidP="00000000" w:rsidRDefault="00000000" w:rsidRPr="00000000" w14:paraId="00000026">
      <w:pPr>
        <w:rPr>
          <w:sz w:val="24"/>
          <w:szCs w:val="24"/>
        </w:rPr>
      </w:pPr>
      <w:r w:rsidDel="00000000" w:rsidR="00000000" w:rsidRPr="00000000">
        <w:rPr>
          <w:sz w:val="24"/>
          <w:szCs w:val="24"/>
          <w:rtl w:val="0"/>
        </w:rPr>
        <w:t xml:space="preserve">Co-chair, Education and Veterans Task Forces</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sz w:val="24"/>
          <w:szCs w:val="24"/>
          <w:rtl w:val="0"/>
        </w:rPr>
        <w:t xml:space="preserve">Germán Parodi</w:t>
      </w:r>
    </w:p>
    <w:p w:rsidR="00000000" w:rsidDel="00000000" w:rsidP="00000000" w:rsidRDefault="00000000" w:rsidRPr="00000000" w14:paraId="00000029">
      <w:pPr>
        <w:rPr>
          <w:sz w:val="24"/>
          <w:szCs w:val="24"/>
        </w:rPr>
      </w:pPr>
      <w:r w:rsidDel="00000000" w:rsidR="00000000" w:rsidRPr="00000000">
        <w:rPr>
          <w:sz w:val="24"/>
          <w:szCs w:val="24"/>
          <w:rtl w:val="0"/>
        </w:rPr>
        <w:t xml:space="preserve">The Partnership for Inclusive Disaster Strategies</w:t>
      </w:r>
    </w:p>
    <w:p w:rsidR="00000000" w:rsidDel="00000000" w:rsidP="00000000" w:rsidRDefault="00000000" w:rsidRPr="00000000" w14:paraId="0000002A">
      <w:pPr>
        <w:rPr>
          <w:sz w:val="24"/>
          <w:szCs w:val="24"/>
        </w:rPr>
      </w:pPr>
      <w:r w:rsidDel="00000000" w:rsidR="00000000" w:rsidRPr="00000000">
        <w:rPr>
          <w:sz w:val="24"/>
          <w:szCs w:val="24"/>
          <w:rtl w:val="0"/>
        </w:rPr>
        <w:t xml:space="preserve">Co-chair, Emergency Management Task Force</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4"/>
          <w:szCs w:val="24"/>
          <w:rtl w:val="0"/>
        </w:rPr>
        <w:t xml:space="preserve">Marcie Roth </w:t>
      </w:r>
    </w:p>
    <w:p w:rsidR="00000000" w:rsidDel="00000000" w:rsidP="00000000" w:rsidRDefault="00000000" w:rsidRPr="00000000" w14:paraId="0000002D">
      <w:pPr>
        <w:rPr>
          <w:sz w:val="24"/>
          <w:szCs w:val="24"/>
        </w:rPr>
      </w:pPr>
      <w:r w:rsidDel="00000000" w:rsidR="00000000" w:rsidRPr="00000000">
        <w:rPr>
          <w:sz w:val="24"/>
          <w:szCs w:val="24"/>
          <w:rtl w:val="0"/>
        </w:rPr>
        <w:t xml:space="preserve">World Institute on Disability</w:t>
      </w:r>
    </w:p>
    <w:p w:rsidR="00000000" w:rsidDel="00000000" w:rsidP="00000000" w:rsidRDefault="00000000" w:rsidRPr="00000000" w14:paraId="0000002E">
      <w:pPr>
        <w:rPr>
          <w:sz w:val="24"/>
          <w:szCs w:val="24"/>
        </w:rPr>
      </w:pPr>
      <w:r w:rsidDel="00000000" w:rsidR="00000000" w:rsidRPr="00000000">
        <w:rPr>
          <w:sz w:val="24"/>
          <w:szCs w:val="24"/>
          <w:rtl w:val="0"/>
        </w:rPr>
        <w:t xml:space="preserve">Co-chair, Emergency Management Task Force</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Shaylin Sluzalis</w:t>
      </w:r>
    </w:p>
    <w:p w:rsidR="00000000" w:rsidDel="00000000" w:rsidP="00000000" w:rsidRDefault="00000000" w:rsidRPr="00000000" w14:paraId="00000031">
      <w:pPr>
        <w:rPr>
          <w:sz w:val="24"/>
          <w:szCs w:val="24"/>
        </w:rPr>
      </w:pPr>
      <w:r w:rsidDel="00000000" w:rsidR="00000000" w:rsidRPr="00000000">
        <w:rPr>
          <w:sz w:val="24"/>
          <w:szCs w:val="24"/>
          <w:rtl w:val="0"/>
        </w:rPr>
        <w:t xml:space="preserve">The Partnership for Inclusive Disaster Strategies</w:t>
      </w:r>
    </w:p>
    <w:p w:rsidR="00000000" w:rsidDel="00000000" w:rsidP="00000000" w:rsidRDefault="00000000" w:rsidRPr="00000000" w14:paraId="00000032">
      <w:pPr>
        <w:rPr>
          <w:sz w:val="24"/>
          <w:szCs w:val="24"/>
        </w:rPr>
      </w:pPr>
      <w:r w:rsidDel="00000000" w:rsidR="00000000" w:rsidRPr="00000000">
        <w:rPr>
          <w:sz w:val="24"/>
          <w:szCs w:val="24"/>
          <w:rtl w:val="0"/>
        </w:rPr>
        <w:t xml:space="preserve">Co-chair, Emergency Management Task Force</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sz w:val="24"/>
          <w:szCs w:val="24"/>
          <w:rtl w:val="0"/>
        </w:rPr>
        <w:t xml:space="preserve">Julie Christensen</w:t>
      </w:r>
    </w:p>
    <w:p w:rsidR="00000000" w:rsidDel="00000000" w:rsidP="00000000" w:rsidRDefault="00000000" w:rsidRPr="00000000" w14:paraId="00000035">
      <w:pPr>
        <w:rPr>
          <w:sz w:val="24"/>
          <w:szCs w:val="24"/>
        </w:rPr>
      </w:pPr>
      <w:r w:rsidDel="00000000" w:rsidR="00000000" w:rsidRPr="00000000">
        <w:rPr>
          <w:sz w:val="24"/>
          <w:szCs w:val="24"/>
          <w:rtl w:val="0"/>
        </w:rPr>
        <w:t xml:space="preserve">Association of People Supporting Employment First (APSE)</w:t>
      </w:r>
    </w:p>
    <w:p w:rsidR="00000000" w:rsidDel="00000000" w:rsidP="00000000" w:rsidRDefault="00000000" w:rsidRPr="00000000" w14:paraId="00000036">
      <w:pPr>
        <w:rPr>
          <w:sz w:val="24"/>
          <w:szCs w:val="24"/>
        </w:rPr>
      </w:pPr>
      <w:r w:rsidDel="00000000" w:rsidR="00000000" w:rsidRPr="00000000">
        <w:rPr>
          <w:sz w:val="24"/>
          <w:szCs w:val="24"/>
          <w:rtl w:val="0"/>
        </w:rPr>
        <w:t xml:space="preserve">Co-chair, Employment &amp; Training Task Force</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sz w:val="24"/>
          <w:szCs w:val="24"/>
          <w:rtl w:val="0"/>
        </w:rPr>
        <w:t xml:space="preserve">Mike Nagel </w:t>
      </w:r>
    </w:p>
    <w:p w:rsidR="00000000" w:rsidDel="00000000" w:rsidP="00000000" w:rsidRDefault="00000000" w:rsidRPr="00000000" w14:paraId="00000039">
      <w:pPr>
        <w:rPr>
          <w:sz w:val="24"/>
          <w:szCs w:val="24"/>
        </w:rPr>
      </w:pPr>
      <w:r w:rsidDel="00000000" w:rsidR="00000000" w:rsidRPr="00000000">
        <w:rPr>
          <w:sz w:val="24"/>
          <w:szCs w:val="24"/>
          <w:rtl w:val="0"/>
        </w:rPr>
        <w:t xml:space="preserve">The Arc of the United States</w:t>
      </w:r>
    </w:p>
    <w:p w:rsidR="00000000" w:rsidDel="00000000" w:rsidP="00000000" w:rsidRDefault="00000000" w:rsidRPr="00000000" w14:paraId="0000003A">
      <w:pPr>
        <w:rPr>
          <w:color w:val="222222"/>
          <w:sz w:val="24"/>
          <w:szCs w:val="24"/>
        </w:rPr>
      </w:pPr>
      <w:r w:rsidDel="00000000" w:rsidR="00000000" w:rsidRPr="00000000">
        <w:rPr>
          <w:sz w:val="24"/>
          <w:szCs w:val="24"/>
          <w:rtl w:val="0"/>
        </w:rPr>
        <w:t xml:space="preserve">Co-chair, Employment &amp; Training Task Force</w:t>
      </w:r>
      <w:r w:rsidDel="00000000" w:rsidR="00000000" w:rsidRPr="00000000">
        <w:rPr>
          <w:rtl w:val="0"/>
        </w:rPr>
      </w:r>
    </w:p>
    <w:p w:rsidR="00000000" w:rsidDel="00000000" w:rsidP="00000000" w:rsidRDefault="00000000" w:rsidRPr="00000000" w14:paraId="0000003B">
      <w:pPr>
        <w:ind w:left="720" w:firstLine="0"/>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David Machledt</w:t>
      </w:r>
    </w:p>
    <w:p w:rsidR="00000000" w:rsidDel="00000000" w:rsidP="00000000" w:rsidRDefault="00000000" w:rsidRPr="00000000" w14:paraId="0000003D">
      <w:pPr>
        <w:rPr>
          <w:sz w:val="24"/>
          <w:szCs w:val="24"/>
        </w:rPr>
      </w:pPr>
      <w:r w:rsidDel="00000000" w:rsidR="00000000" w:rsidRPr="00000000">
        <w:rPr>
          <w:sz w:val="24"/>
          <w:szCs w:val="24"/>
          <w:rtl w:val="0"/>
        </w:rPr>
        <w:t xml:space="preserve">National Health Law Program</w:t>
      </w:r>
    </w:p>
    <w:p w:rsidR="00000000" w:rsidDel="00000000" w:rsidP="00000000" w:rsidRDefault="00000000" w:rsidRPr="00000000" w14:paraId="0000003E">
      <w:pPr>
        <w:rPr>
          <w:sz w:val="24"/>
          <w:szCs w:val="24"/>
        </w:rPr>
      </w:pPr>
      <w:r w:rsidDel="00000000" w:rsidR="00000000" w:rsidRPr="00000000">
        <w:rPr>
          <w:sz w:val="24"/>
          <w:szCs w:val="24"/>
          <w:rtl w:val="0"/>
        </w:rPr>
        <w:t xml:space="preserve">Co-chair, Health Task Force</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sz w:val="24"/>
          <w:szCs w:val="24"/>
          <w:rtl w:val="0"/>
        </w:rPr>
        <w:t xml:space="preserve">Greg Robinson</w:t>
      </w:r>
    </w:p>
    <w:p w:rsidR="00000000" w:rsidDel="00000000" w:rsidP="00000000" w:rsidRDefault="00000000" w:rsidRPr="00000000" w14:paraId="00000041">
      <w:pPr>
        <w:rPr>
          <w:sz w:val="24"/>
          <w:szCs w:val="24"/>
        </w:rPr>
      </w:pPr>
      <w:r w:rsidDel="00000000" w:rsidR="00000000" w:rsidRPr="00000000">
        <w:rPr>
          <w:sz w:val="24"/>
          <w:szCs w:val="24"/>
          <w:rtl w:val="0"/>
        </w:rPr>
        <w:t xml:space="preserve">Autistic Self Advocacy Network</w:t>
      </w:r>
    </w:p>
    <w:p w:rsidR="00000000" w:rsidDel="00000000" w:rsidP="00000000" w:rsidRDefault="00000000" w:rsidRPr="00000000" w14:paraId="00000042">
      <w:pPr>
        <w:rPr>
          <w:sz w:val="24"/>
          <w:szCs w:val="24"/>
        </w:rPr>
      </w:pPr>
      <w:r w:rsidDel="00000000" w:rsidR="00000000" w:rsidRPr="00000000">
        <w:rPr>
          <w:sz w:val="24"/>
          <w:szCs w:val="24"/>
          <w:rtl w:val="0"/>
        </w:rPr>
        <w:t xml:space="preserve">Co-chair, Health and Housing Task Forces</w:t>
      </w:r>
    </w:p>
    <w:p w:rsidR="00000000" w:rsidDel="00000000" w:rsidP="00000000" w:rsidRDefault="00000000" w:rsidRPr="00000000" w14:paraId="00000043">
      <w:pPr>
        <w:ind w:left="0" w:firstLine="0"/>
        <w:rPr>
          <w:sz w:val="24"/>
          <w:szCs w:val="24"/>
        </w:rPr>
      </w:pPr>
      <w:r w:rsidDel="00000000" w:rsidR="00000000" w:rsidRPr="00000000">
        <w:rPr>
          <w:rtl w:val="0"/>
        </w:rPr>
      </w:r>
    </w:p>
    <w:p w:rsidR="00000000" w:rsidDel="00000000" w:rsidP="00000000" w:rsidRDefault="00000000" w:rsidRPr="00000000" w14:paraId="00000044">
      <w:pPr>
        <w:ind w:left="0" w:firstLine="0"/>
        <w:rPr>
          <w:sz w:val="24"/>
          <w:szCs w:val="24"/>
        </w:rPr>
      </w:pPr>
      <w:r w:rsidDel="00000000" w:rsidR="00000000" w:rsidRPr="00000000">
        <w:rPr>
          <w:sz w:val="24"/>
          <w:szCs w:val="24"/>
          <w:rtl w:val="0"/>
        </w:rPr>
        <w:t xml:space="preserve">Jennifer Kye</w:t>
      </w:r>
    </w:p>
    <w:p w:rsidR="00000000" w:rsidDel="00000000" w:rsidP="00000000" w:rsidRDefault="00000000" w:rsidRPr="00000000" w14:paraId="00000045">
      <w:pPr>
        <w:ind w:left="0" w:firstLine="0"/>
        <w:rPr>
          <w:sz w:val="24"/>
          <w:szCs w:val="24"/>
        </w:rPr>
      </w:pPr>
      <w:r w:rsidDel="00000000" w:rsidR="00000000" w:rsidRPr="00000000">
        <w:rPr>
          <w:sz w:val="24"/>
          <w:szCs w:val="24"/>
          <w:rtl w:val="0"/>
        </w:rPr>
        <w:t xml:space="preserve">Justice in Aging</w:t>
      </w:r>
    </w:p>
    <w:p w:rsidR="00000000" w:rsidDel="00000000" w:rsidP="00000000" w:rsidRDefault="00000000" w:rsidRPr="00000000" w14:paraId="00000046">
      <w:pPr>
        <w:ind w:left="0" w:firstLine="0"/>
        <w:rPr>
          <w:sz w:val="24"/>
          <w:szCs w:val="24"/>
        </w:rPr>
      </w:pPr>
      <w:r w:rsidDel="00000000" w:rsidR="00000000" w:rsidRPr="00000000">
        <w:rPr>
          <w:sz w:val="24"/>
          <w:szCs w:val="24"/>
          <w:rtl w:val="0"/>
        </w:rPr>
        <w:t xml:space="preserve">Co-chair, Housing Task Force</w:t>
      </w:r>
    </w:p>
    <w:p w:rsidR="00000000" w:rsidDel="00000000" w:rsidP="00000000" w:rsidRDefault="00000000" w:rsidRPr="00000000" w14:paraId="00000047">
      <w:pPr>
        <w:ind w:left="0" w:firstLine="0"/>
        <w:rPr>
          <w:sz w:val="24"/>
          <w:szCs w:val="24"/>
        </w:rPr>
      </w:pPr>
      <w:r w:rsidDel="00000000" w:rsidR="00000000" w:rsidRPr="00000000">
        <w:rPr>
          <w:rtl w:val="0"/>
        </w:rPr>
      </w:r>
    </w:p>
    <w:p w:rsidR="00000000" w:rsidDel="00000000" w:rsidP="00000000" w:rsidRDefault="00000000" w:rsidRPr="00000000" w14:paraId="00000048">
      <w:pPr>
        <w:ind w:left="0" w:firstLine="0"/>
        <w:rPr>
          <w:sz w:val="24"/>
          <w:szCs w:val="24"/>
        </w:rPr>
      </w:pPr>
      <w:r w:rsidDel="00000000" w:rsidR="00000000" w:rsidRPr="00000000">
        <w:rPr>
          <w:sz w:val="24"/>
          <w:szCs w:val="24"/>
          <w:rtl w:val="0"/>
        </w:rPr>
        <w:t xml:space="preserve">Elise Aguilar</w:t>
      </w:r>
    </w:p>
    <w:p w:rsidR="00000000" w:rsidDel="00000000" w:rsidP="00000000" w:rsidRDefault="00000000" w:rsidRPr="00000000" w14:paraId="00000049">
      <w:pPr>
        <w:ind w:left="0" w:firstLine="0"/>
        <w:rPr>
          <w:sz w:val="24"/>
          <w:szCs w:val="24"/>
        </w:rPr>
      </w:pPr>
      <w:r w:rsidDel="00000000" w:rsidR="00000000" w:rsidRPr="00000000">
        <w:rPr>
          <w:sz w:val="24"/>
          <w:szCs w:val="24"/>
          <w:rtl w:val="0"/>
        </w:rPr>
        <w:t xml:space="preserve">American Network of Community Options and Resources (ANCOR)</w:t>
      </w:r>
    </w:p>
    <w:p w:rsidR="00000000" w:rsidDel="00000000" w:rsidP="00000000" w:rsidRDefault="00000000" w:rsidRPr="00000000" w14:paraId="0000004A">
      <w:pPr>
        <w:ind w:left="0" w:firstLine="0"/>
        <w:rPr>
          <w:sz w:val="24"/>
          <w:szCs w:val="24"/>
        </w:rPr>
      </w:pPr>
      <w:r w:rsidDel="00000000" w:rsidR="00000000" w:rsidRPr="00000000">
        <w:rPr>
          <w:sz w:val="24"/>
          <w:szCs w:val="24"/>
          <w:rtl w:val="0"/>
        </w:rPr>
        <w:t xml:space="preserve">Co-chair, Long Term Services and Supports Task Force</w:t>
      </w:r>
    </w:p>
    <w:p w:rsidR="00000000" w:rsidDel="00000000" w:rsidP="00000000" w:rsidRDefault="00000000" w:rsidRPr="00000000" w14:paraId="0000004B">
      <w:pPr>
        <w:ind w:left="0" w:firstLine="0"/>
        <w:rPr>
          <w:sz w:val="24"/>
          <w:szCs w:val="24"/>
        </w:rPr>
      </w:pPr>
      <w:r w:rsidDel="00000000" w:rsidR="00000000" w:rsidRPr="00000000">
        <w:rPr>
          <w:rtl w:val="0"/>
        </w:rPr>
      </w:r>
    </w:p>
    <w:p w:rsidR="00000000" w:rsidDel="00000000" w:rsidP="00000000" w:rsidRDefault="00000000" w:rsidRPr="00000000" w14:paraId="0000004C">
      <w:pPr>
        <w:ind w:left="0" w:firstLine="0"/>
        <w:rPr>
          <w:sz w:val="24"/>
          <w:szCs w:val="24"/>
        </w:rPr>
      </w:pPr>
      <w:r w:rsidDel="00000000" w:rsidR="00000000" w:rsidRPr="00000000">
        <w:rPr>
          <w:sz w:val="24"/>
          <w:szCs w:val="24"/>
          <w:rtl w:val="0"/>
        </w:rPr>
        <w:t xml:space="preserve">Tory Cross</w:t>
      </w:r>
    </w:p>
    <w:p w:rsidR="00000000" w:rsidDel="00000000" w:rsidP="00000000" w:rsidRDefault="00000000" w:rsidRPr="00000000" w14:paraId="0000004D">
      <w:pPr>
        <w:ind w:left="0" w:firstLine="0"/>
        <w:rPr>
          <w:sz w:val="24"/>
          <w:szCs w:val="24"/>
        </w:rPr>
      </w:pPr>
      <w:r w:rsidDel="00000000" w:rsidR="00000000" w:rsidRPr="00000000">
        <w:rPr>
          <w:sz w:val="24"/>
          <w:szCs w:val="24"/>
          <w:rtl w:val="0"/>
        </w:rPr>
        <w:t xml:space="preserve">Caring Across Generations</w:t>
      </w:r>
    </w:p>
    <w:p w:rsidR="00000000" w:rsidDel="00000000" w:rsidP="00000000" w:rsidRDefault="00000000" w:rsidRPr="00000000" w14:paraId="0000004E">
      <w:pPr>
        <w:ind w:left="0" w:firstLine="0"/>
        <w:rPr>
          <w:sz w:val="24"/>
          <w:szCs w:val="24"/>
        </w:rPr>
      </w:pPr>
      <w:r w:rsidDel="00000000" w:rsidR="00000000" w:rsidRPr="00000000">
        <w:rPr>
          <w:sz w:val="24"/>
          <w:szCs w:val="24"/>
          <w:rtl w:val="0"/>
        </w:rPr>
        <w:t xml:space="preserve">Co-chair, Long Term Services and Supports Task Force</w:t>
      </w:r>
    </w:p>
    <w:p w:rsidR="00000000" w:rsidDel="00000000" w:rsidP="00000000" w:rsidRDefault="00000000" w:rsidRPr="00000000" w14:paraId="0000004F">
      <w:pPr>
        <w:ind w:left="0" w:firstLine="0"/>
        <w:rPr>
          <w:sz w:val="24"/>
          <w:szCs w:val="24"/>
        </w:rPr>
      </w:pPr>
      <w:r w:rsidDel="00000000" w:rsidR="00000000" w:rsidRPr="00000000">
        <w:rPr>
          <w:rtl w:val="0"/>
        </w:rPr>
      </w:r>
    </w:p>
    <w:p w:rsidR="00000000" w:rsidDel="00000000" w:rsidP="00000000" w:rsidRDefault="00000000" w:rsidRPr="00000000" w14:paraId="00000050">
      <w:pPr>
        <w:ind w:left="0" w:firstLine="0"/>
        <w:rPr>
          <w:sz w:val="24"/>
          <w:szCs w:val="24"/>
        </w:rPr>
      </w:pPr>
      <w:r w:rsidDel="00000000" w:rsidR="00000000" w:rsidRPr="00000000">
        <w:rPr>
          <w:sz w:val="24"/>
          <w:szCs w:val="24"/>
          <w:rtl w:val="0"/>
        </w:rPr>
        <w:t xml:space="preserve">Jennifer Lav</w:t>
      </w:r>
    </w:p>
    <w:p w:rsidR="00000000" w:rsidDel="00000000" w:rsidP="00000000" w:rsidRDefault="00000000" w:rsidRPr="00000000" w14:paraId="00000051">
      <w:pPr>
        <w:ind w:left="0" w:firstLine="0"/>
        <w:rPr>
          <w:sz w:val="24"/>
          <w:szCs w:val="24"/>
        </w:rPr>
      </w:pPr>
      <w:r w:rsidDel="00000000" w:rsidR="00000000" w:rsidRPr="00000000">
        <w:rPr>
          <w:sz w:val="24"/>
          <w:szCs w:val="24"/>
          <w:rtl w:val="0"/>
        </w:rPr>
        <w:t xml:space="preserve">National Health Law Program</w:t>
      </w:r>
    </w:p>
    <w:p w:rsidR="00000000" w:rsidDel="00000000" w:rsidP="00000000" w:rsidRDefault="00000000" w:rsidRPr="00000000" w14:paraId="00000052">
      <w:pPr>
        <w:ind w:left="0" w:firstLine="0"/>
        <w:rPr>
          <w:sz w:val="24"/>
          <w:szCs w:val="24"/>
        </w:rPr>
      </w:pPr>
      <w:r w:rsidDel="00000000" w:rsidR="00000000" w:rsidRPr="00000000">
        <w:rPr>
          <w:sz w:val="24"/>
          <w:szCs w:val="24"/>
          <w:rtl w:val="0"/>
        </w:rPr>
        <w:t xml:space="preserve">Co-chair, Long Term Services and Supports Task Force</w:t>
      </w:r>
    </w:p>
    <w:p w:rsidR="00000000" w:rsidDel="00000000" w:rsidP="00000000" w:rsidRDefault="00000000" w:rsidRPr="00000000" w14:paraId="00000053">
      <w:pPr>
        <w:ind w:left="0" w:firstLine="0"/>
        <w:rPr>
          <w:sz w:val="24"/>
          <w:szCs w:val="24"/>
        </w:rPr>
      </w:pPr>
      <w:r w:rsidDel="00000000" w:rsidR="00000000" w:rsidRPr="00000000">
        <w:rPr>
          <w:rtl w:val="0"/>
        </w:rPr>
      </w:r>
    </w:p>
    <w:p w:rsidR="00000000" w:rsidDel="00000000" w:rsidP="00000000" w:rsidRDefault="00000000" w:rsidRPr="00000000" w14:paraId="00000054">
      <w:pPr>
        <w:ind w:left="0" w:firstLine="0"/>
        <w:rPr>
          <w:sz w:val="24"/>
          <w:szCs w:val="24"/>
        </w:rPr>
      </w:pPr>
      <w:r w:rsidDel="00000000" w:rsidR="00000000" w:rsidRPr="00000000">
        <w:rPr>
          <w:sz w:val="24"/>
          <w:szCs w:val="24"/>
          <w:rtl w:val="0"/>
        </w:rPr>
        <w:t xml:space="preserve">Kim Musheno</w:t>
      </w:r>
    </w:p>
    <w:p w:rsidR="00000000" w:rsidDel="00000000" w:rsidP="00000000" w:rsidRDefault="00000000" w:rsidRPr="00000000" w14:paraId="00000055">
      <w:pPr>
        <w:ind w:left="0" w:firstLine="0"/>
        <w:rPr>
          <w:sz w:val="24"/>
          <w:szCs w:val="24"/>
        </w:rPr>
      </w:pPr>
      <w:r w:rsidDel="00000000" w:rsidR="00000000" w:rsidRPr="00000000">
        <w:rPr>
          <w:sz w:val="24"/>
          <w:szCs w:val="24"/>
          <w:rtl w:val="0"/>
        </w:rPr>
        <w:t xml:space="preserve">The Arc of the United States</w:t>
      </w:r>
    </w:p>
    <w:p w:rsidR="00000000" w:rsidDel="00000000" w:rsidP="00000000" w:rsidRDefault="00000000" w:rsidRPr="00000000" w14:paraId="00000056">
      <w:pPr>
        <w:rPr>
          <w:sz w:val="24"/>
          <w:szCs w:val="24"/>
        </w:rPr>
      </w:pPr>
      <w:r w:rsidDel="00000000" w:rsidR="00000000" w:rsidRPr="00000000">
        <w:rPr>
          <w:sz w:val="24"/>
          <w:szCs w:val="24"/>
          <w:rtl w:val="0"/>
        </w:rPr>
        <w:t xml:space="preserve">Co-chair, Long Term Services and Supports Task Force</w:t>
      </w:r>
    </w:p>
    <w:p w:rsidR="00000000" w:rsidDel="00000000" w:rsidP="00000000" w:rsidRDefault="00000000" w:rsidRPr="00000000" w14:paraId="00000057">
      <w:pPr>
        <w:ind w:left="0" w:firstLine="0"/>
        <w:rPr>
          <w:sz w:val="24"/>
          <w:szCs w:val="24"/>
        </w:rPr>
      </w:pPr>
      <w:r w:rsidDel="00000000" w:rsidR="00000000" w:rsidRPr="00000000">
        <w:rPr>
          <w:rtl w:val="0"/>
        </w:rPr>
      </w:r>
    </w:p>
    <w:p w:rsidR="00000000" w:rsidDel="00000000" w:rsidP="00000000" w:rsidRDefault="00000000" w:rsidRPr="00000000" w14:paraId="00000058">
      <w:pPr>
        <w:ind w:left="0" w:firstLine="0"/>
        <w:rPr>
          <w:sz w:val="24"/>
          <w:szCs w:val="24"/>
        </w:rPr>
      </w:pPr>
      <w:r w:rsidDel="00000000" w:rsidR="00000000" w:rsidRPr="00000000">
        <w:rPr>
          <w:sz w:val="24"/>
          <w:szCs w:val="24"/>
          <w:rtl w:val="0"/>
        </w:rPr>
        <w:t xml:space="preserve">Gelila Selassie</w:t>
      </w:r>
    </w:p>
    <w:p w:rsidR="00000000" w:rsidDel="00000000" w:rsidP="00000000" w:rsidRDefault="00000000" w:rsidRPr="00000000" w14:paraId="00000059">
      <w:pPr>
        <w:ind w:left="0" w:firstLine="0"/>
        <w:rPr>
          <w:sz w:val="24"/>
          <w:szCs w:val="24"/>
        </w:rPr>
      </w:pPr>
      <w:r w:rsidDel="00000000" w:rsidR="00000000" w:rsidRPr="00000000">
        <w:rPr>
          <w:sz w:val="24"/>
          <w:szCs w:val="24"/>
          <w:rtl w:val="0"/>
        </w:rPr>
        <w:t xml:space="preserve">Justice in Aging</w:t>
      </w:r>
    </w:p>
    <w:p w:rsidR="00000000" w:rsidDel="00000000" w:rsidP="00000000" w:rsidRDefault="00000000" w:rsidRPr="00000000" w14:paraId="0000005A">
      <w:pPr>
        <w:rPr>
          <w:sz w:val="24"/>
          <w:szCs w:val="24"/>
        </w:rPr>
      </w:pPr>
      <w:r w:rsidDel="00000000" w:rsidR="00000000" w:rsidRPr="00000000">
        <w:rPr>
          <w:sz w:val="24"/>
          <w:szCs w:val="24"/>
          <w:rtl w:val="0"/>
        </w:rPr>
        <w:t xml:space="preserve">Co-chair, Long Term Services and Supports Task Force</w:t>
      </w:r>
    </w:p>
    <w:p w:rsidR="00000000" w:rsidDel="00000000" w:rsidP="00000000" w:rsidRDefault="00000000" w:rsidRPr="00000000" w14:paraId="0000005B">
      <w:pPr>
        <w:ind w:left="0" w:firstLine="0"/>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sz w:val="24"/>
          <w:szCs w:val="24"/>
          <w:rtl w:val="0"/>
        </w:rPr>
        <w:t xml:space="preserve">Claudia Center</w:t>
      </w:r>
    </w:p>
    <w:p w:rsidR="00000000" w:rsidDel="00000000" w:rsidP="00000000" w:rsidRDefault="00000000" w:rsidRPr="00000000" w14:paraId="0000005D">
      <w:pPr>
        <w:rPr>
          <w:sz w:val="24"/>
          <w:szCs w:val="24"/>
        </w:rPr>
      </w:pPr>
      <w:r w:rsidDel="00000000" w:rsidR="00000000" w:rsidRPr="00000000">
        <w:rPr>
          <w:sz w:val="24"/>
          <w:szCs w:val="24"/>
          <w:rtl w:val="0"/>
        </w:rPr>
        <w:t xml:space="preserve">Disability Rights Education and Defense Fund</w:t>
      </w:r>
    </w:p>
    <w:p w:rsidR="00000000" w:rsidDel="00000000" w:rsidP="00000000" w:rsidRDefault="00000000" w:rsidRPr="00000000" w14:paraId="0000005E">
      <w:pPr>
        <w:rPr>
          <w:sz w:val="24"/>
          <w:szCs w:val="24"/>
        </w:rPr>
      </w:pPr>
      <w:r w:rsidDel="00000000" w:rsidR="00000000" w:rsidRPr="00000000">
        <w:rPr>
          <w:sz w:val="24"/>
          <w:szCs w:val="24"/>
          <w:rtl w:val="0"/>
        </w:rPr>
        <w:t xml:space="preserve">Co-chair, Rights Task Force</w:t>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sz w:val="24"/>
          <w:szCs w:val="24"/>
          <w:rtl w:val="0"/>
        </w:rPr>
        <w:t xml:space="preserve">Stephen Lieberman</w:t>
      </w:r>
    </w:p>
    <w:p w:rsidR="00000000" w:rsidDel="00000000" w:rsidP="00000000" w:rsidRDefault="00000000" w:rsidRPr="00000000" w14:paraId="00000061">
      <w:pPr>
        <w:rPr>
          <w:sz w:val="24"/>
          <w:szCs w:val="24"/>
        </w:rPr>
      </w:pPr>
      <w:r w:rsidDel="00000000" w:rsidR="00000000" w:rsidRPr="00000000">
        <w:rPr>
          <w:sz w:val="24"/>
          <w:szCs w:val="24"/>
          <w:rtl w:val="0"/>
        </w:rPr>
        <w:t xml:space="preserve">United Spinal Association</w:t>
      </w:r>
    </w:p>
    <w:p w:rsidR="00000000" w:rsidDel="00000000" w:rsidP="00000000" w:rsidRDefault="00000000" w:rsidRPr="00000000" w14:paraId="00000062">
      <w:pPr>
        <w:rPr>
          <w:sz w:val="24"/>
          <w:szCs w:val="24"/>
        </w:rPr>
      </w:pPr>
      <w:r w:rsidDel="00000000" w:rsidR="00000000" w:rsidRPr="00000000">
        <w:rPr>
          <w:sz w:val="24"/>
          <w:szCs w:val="24"/>
          <w:rtl w:val="0"/>
        </w:rPr>
        <w:t xml:space="preserve">Co-chair, Rights Task Force</w:t>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sz w:val="24"/>
          <w:szCs w:val="24"/>
          <w:rtl w:val="0"/>
        </w:rPr>
        <w:t xml:space="preserve">Jennifer Mathis</w:t>
      </w:r>
    </w:p>
    <w:p w:rsidR="00000000" w:rsidDel="00000000" w:rsidP="00000000" w:rsidRDefault="00000000" w:rsidRPr="00000000" w14:paraId="00000065">
      <w:pPr>
        <w:rPr>
          <w:sz w:val="24"/>
          <w:szCs w:val="24"/>
        </w:rPr>
      </w:pPr>
      <w:r w:rsidDel="00000000" w:rsidR="00000000" w:rsidRPr="00000000">
        <w:rPr>
          <w:sz w:val="24"/>
          <w:szCs w:val="24"/>
          <w:rtl w:val="0"/>
        </w:rPr>
        <w:t xml:space="preserve">Bazelon Center for Mental Health Law</w:t>
      </w:r>
    </w:p>
    <w:p w:rsidR="00000000" w:rsidDel="00000000" w:rsidP="00000000" w:rsidRDefault="00000000" w:rsidRPr="00000000" w14:paraId="00000066">
      <w:pPr>
        <w:rPr>
          <w:sz w:val="24"/>
          <w:szCs w:val="24"/>
        </w:rPr>
      </w:pPr>
      <w:r w:rsidDel="00000000" w:rsidR="00000000" w:rsidRPr="00000000">
        <w:rPr>
          <w:sz w:val="24"/>
          <w:szCs w:val="24"/>
          <w:rtl w:val="0"/>
        </w:rPr>
        <w:t xml:space="preserve">Co-chair, Rights Task Force</w:t>
      </w:r>
    </w:p>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sz w:val="24"/>
          <w:szCs w:val="24"/>
          <w:rtl w:val="0"/>
        </w:rPr>
        <w:t xml:space="preserve">Allison Nichol</w:t>
      </w:r>
    </w:p>
    <w:p w:rsidR="00000000" w:rsidDel="00000000" w:rsidP="00000000" w:rsidRDefault="00000000" w:rsidRPr="00000000" w14:paraId="00000069">
      <w:pPr>
        <w:rPr>
          <w:sz w:val="24"/>
          <w:szCs w:val="24"/>
        </w:rPr>
      </w:pPr>
      <w:r w:rsidDel="00000000" w:rsidR="00000000" w:rsidRPr="00000000">
        <w:rPr>
          <w:sz w:val="24"/>
          <w:szCs w:val="24"/>
          <w:rtl w:val="0"/>
        </w:rPr>
        <w:t xml:space="preserve">Epilepsy Foundation of America</w:t>
      </w:r>
    </w:p>
    <w:p w:rsidR="00000000" w:rsidDel="00000000" w:rsidP="00000000" w:rsidRDefault="00000000" w:rsidRPr="00000000" w14:paraId="0000006A">
      <w:pPr>
        <w:rPr>
          <w:sz w:val="24"/>
          <w:szCs w:val="24"/>
        </w:rPr>
      </w:pPr>
      <w:r w:rsidDel="00000000" w:rsidR="00000000" w:rsidRPr="00000000">
        <w:rPr>
          <w:sz w:val="24"/>
          <w:szCs w:val="24"/>
          <w:rtl w:val="0"/>
        </w:rPr>
        <w:t xml:space="preserve">Co-chair, Rights Task Force</w:t>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sz w:val="24"/>
          <w:szCs w:val="24"/>
          <w:rtl w:val="0"/>
        </w:rPr>
        <w:t xml:space="preserve">Larkin Taylor-Parker</w:t>
      </w:r>
    </w:p>
    <w:p w:rsidR="00000000" w:rsidDel="00000000" w:rsidP="00000000" w:rsidRDefault="00000000" w:rsidRPr="00000000" w14:paraId="0000006D">
      <w:pPr>
        <w:rPr>
          <w:sz w:val="24"/>
          <w:szCs w:val="24"/>
        </w:rPr>
      </w:pPr>
      <w:r w:rsidDel="00000000" w:rsidR="00000000" w:rsidRPr="00000000">
        <w:rPr>
          <w:sz w:val="24"/>
          <w:szCs w:val="24"/>
          <w:rtl w:val="0"/>
        </w:rPr>
        <w:t xml:space="preserve">Autistic Self Advocacy Network</w:t>
      </w:r>
    </w:p>
    <w:p w:rsidR="00000000" w:rsidDel="00000000" w:rsidP="00000000" w:rsidRDefault="00000000" w:rsidRPr="00000000" w14:paraId="0000006E">
      <w:pPr>
        <w:rPr>
          <w:sz w:val="24"/>
          <w:szCs w:val="24"/>
        </w:rPr>
      </w:pPr>
      <w:r w:rsidDel="00000000" w:rsidR="00000000" w:rsidRPr="00000000">
        <w:rPr>
          <w:sz w:val="24"/>
          <w:szCs w:val="24"/>
          <w:rtl w:val="0"/>
        </w:rPr>
        <w:t xml:space="preserve">Co-chair, Rights Task Force</w:t>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sz w:val="24"/>
          <w:szCs w:val="24"/>
        </w:rPr>
      </w:pPr>
      <w:r w:rsidDel="00000000" w:rsidR="00000000" w:rsidRPr="00000000">
        <w:rPr>
          <w:sz w:val="24"/>
          <w:szCs w:val="24"/>
          <w:rtl w:val="0"/>
        </w:rPr>
        <w:t xml:space="preserve">Morgan Whitlatch</w:t>
      </w:r>
    </w:p>
    <w:p w:rsidR="00000000" w:rsidDel="00000000" w:rsidP="00000000" w:rsidRDefault="00000000" w:rsidRPr="00000000" w14:paraId="00000071">
      <w:pPr>
        <w:rPr>
          <w:sz w:val="24"/>
          <w:szCs w:val="24"/>
        </w:rPr>
      </w:pPr>
      <w:r w:rsidDel="00000000" w:rsidR="00000000" w:rsidRPr="00000000">
        <w:rPr>
          <w:sz w:val="24"/>
          <w:szCs w:val="24"/>
          <w:rtl w:val="0"/>
        </w:rPr>
        <w:t xml:space="preserve">Center for Public Representation</w:t>
      </w:r>
    </w:p>
    <w:p w:rsidR="00000000" w:rsidDel="00000000" w:rsidP="00000000" w:rsidRDefault="00000000" w:rsidRPr="00000000" w14:paraId="00000072">
      <w:pPr>
        <w:rPr>
          <w:sz w:val="24"/>
          <w:szCs w:val="24"/>
        </w:rPr>
      </w:pPr>
      <w:r w:rsidDel="00000000" w:rsidR="00000000" w:rsidRPr="00000000">
        <w:rPr>
          <w:sz w:val="24"/>
          <w:szCs w:val="24"/>
          <w:rtl w:val="0"/>
        </w:rPr>
        <w:t xml:space="preserve">Co-chair, Rights Task Force</w:t>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sz w:val="24"/>
          <w:szCs w:val="24"/>
          <w:rtl w:val="0"/>
        </w:rPr>
        <w:t xml:space="preserve">Eric Buehlmann</w:t>
      </w:r>
    </w:p>
    <w:p w:rsidR="00000000" w:rsidDel="00000000" w:rsidP="00000000" w:rsidRDefault="00000000" w:rsidRPr="00000000" w14:paraId="00000075">
      <w:pPr>
        <w:rPr>
          <w:sz w:val="24"/>
          <w:szCs w:val="24"/>
        </w:rPr>
      </w:pPr>
      <w:r w:rsidDel="00000000" w:rsidR="00000000" w:rsidRPr="00000000">
        <w:rPr>
          <w:sz w:val="24"/>
          <w:szCs w:val="24"/>
          <w:rtl w:val="0"/>
        </w:rPr>
        <w:t xml:space="preserve">National Disability Rights Network</w:t>
      </w:r>
    </w:p>
    <w:p w:rsidR="00000000" w:rsidDel="00000000" w:rsidP="00000000" w:rsidRDefault="00000000" w:rsidRPr="00000000" w14:paraId="00000076">
      <w:pPr>
        <w:rPr>
          <w:sz w:val="24"/>
          <w:szCs w:val="24"/>
        </w:rPr>
      </w:pPr>
      <w:r w:rsidDel="00000000" w:rsidR="00000000" w:rsidRPr="00000000">
        <w:rPr>
          <w:sz w:val="24"/>
          <w:szCs w:val="24"/>
          <w:rtl w:val="0"/>
        </w:rPr>
        <w:t xml:space="preserve">Co-chair, Technology &amp; Telecommunications Task Force</w:t>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rPr>
          <w:sz w:val="24"/>
          <w:szCs w:val="24"/>
        </w:rPr>
      </w:pPr>
      <w:r w:rsidDel="00000000" w:rsidR="00000000" w:rsidRPr="00000000">
        <w:rPr>
          <w:sz w:val="24"/>
          <w:szCs w:val="24"/>
          <w:rtl w:val="0"/>
        </w:rPr>
        <w:t xml:space="preserve">Audrey Busch</w:t>
      </w:r>
    </w:p>
    <w:p w:rsidR="00000000" w:rsidDel="00000000" w:rsidP="00000000" w:rsidRDefault="00000000" w:rsidRPr="00000000" w14:paraId="00000079">
      <w:pPr>
        <w:rPr>
          <w:sz w:val="24"/>
          <w:szCs w:val="24"/>
        </w:rPr>
      </w:pPr>
      <w:r w:rsidDel="00000000" w:rsidR="00000000" w:rsidRPr="00000000">
        <w:rPr>
          <w:sz w:val="24"/>
          <w:szCs w:val="24"/>
          <w:rtl w:val="0"/>
        </w:rPr>
        <w:t xml:space="preserve">Association of Assistive Technology Act Programs (ATAP)</w:t>
      </w:r>
    </w:p>
    <w:p w:rsidR="00000000" w:rsidDel="00000000" w:rsidP="00000000" w:rsidRDefault="00000000" w:rsidRPr="00000000" w14:paraId="0000007A">
      <w:pPr>
        <w:rPr>
          <w:sz w:val="24"/>
          <w:szCs w:val="24"/>
        </w:rPr>
      </w:pPr>
      <w:r w:rsidDel="00000000" w:rsidR="00000000" w:rsidRPr="00000000">
        <w:rPr>
          <w:sz w:val="24"/>
          <w:szCs w:val="24"/>
          <w:rtl w:val="0"/>
        </w:rPr>
        <w:t xml:space="preserve">Co-chair, Technology and Telecommunications Task Force</w:t>
      </w:r>
    </w:p>
    <w:p w:rsidR="00000000" w:rsidDel="00000000" w:rsidP="00000000" w:rsidRDefault="00000000" w:rsidRPr="00000000" w14:paraId="0000007B">
      <w:pPr>
        <w:rPr>
          <w:sz w:val="24"/>
          <w:szCs w:val="24"/>
        </w:rPr>
      </w:pPr>
      <w:r w:rsidDel="00000000" w:rsidR="00000000" w:rsidRPr="00000000">
        <w:rPr>
          <w:rtl w:val="0"/>
        </w:rPr>
      </w:r>
    </w:p>
    <w:p w:rsidR="00000000" w:rsidDel="00000000" w:rsidP="00000000" w:rsidRDefault="00000000" w:rsidRPr="00000000" w14:paraId="0000007C">
      <w:pPr>
        <w:rPr>
          <w:sz w:val="24"/>
          <w:szCs w:val="24"/>
        </w:rPr>
      </w:pPr>
      <w:r w:rsidDel="00000000" w:rsidR="00000000" w:rsidRPr="00000000">
        <w:rPr>
          <w:sz w:val="24"/>
          <w:szCs w:val="24"/>
          <w:rtl w:val="0"/>
        </w:rPr>
        <w:t xml:space="preserve">Sarah Malaier</w:t>
      </w:r>
    </w:p>
    <w:p w:rsidR="00000000" w:rsidDel="00000000" w:rsidP="00000000" w:rsidRDefault="00000000" w:rsidRPr="00000000" w14:paraId="0000007D">
      <w:pPr>
        <w:rPr>
          <w:sz w:val="24"/>
          <w:szCs w:val="24"/>
        </w:rPr>
      </w:pPr>
      <w:r w:rsidDel="00000000" w:rsidR="00000000" w:rsidRPr="00000000">
        <w:rPr>
          <w:sz w:val="24"/>
          <w:szCs w:val="24"/>
          <w:rtl w:val="0"/>
        </w:rPr>
        <w:t xml:space="preserve">American Foundation for the Blind</w:t>
      </w:r>
    </w:p>
    <w:p w:rsidR="00000000" w:rsidDel="00000000" w:rsidP="00000000" w:rsidRDefault="00000000" w:rsidRPr="00000000" w14:paraId="0000007E">
      <w:pPr>
        <w:rPr>
          <w:sz w:val="24"/>
          <w:szCs w:val="24"/>
        </w:rPr>
      </w:pPr>
      <w:r w:rsidDel="00000000" w:rsidR="00000000" w:rsidRPr="00000000">
        <w:rPr>
          <w:sz w:val="24"/>
          <w:szCs w:val="24"/>
          <w:rtl w:val="0"/>
        </w:rPr>
        <w:t xml:space="preserve">Co-chair, Technology &amp; Telecommunication and Transportation Task Forces</w:t>
      </w:r>
    </w:p>
    <w:p w:rsidR="00000000" w:rsidDel="00000000" w:rsidP="00000000" w:rsidRDefault="00000000" w:rsidRPr="00000000" w14:paraId="0000007F">
      <w:pPr>
        <w:rPr>
          <w:sz w:val="24"/>
          <w:szCs w:val="24"/>
        </w:rPr>
      </w:pPr>
      <w:r w:rsidDel="00000000" w:rsidR="00000000" w:rsidRPr="00000000">
        <w:rPr>
          <w:rtl w:val="0"/>
        </w:rPr>
      </w:r>
    </w:p>
    <w:p w:rsidR="00000000" w:rsidDel="00000000" w:rsidP="00000000" w:rsidRDefault="00000000" w:rsidRPr="00000000" w14:paraId="00000080">
      <w:pPr>
        <w:rPr>
          <w:sz w:val="24"/>
          <w:szCs w:val="24"/>
        </w:rPr>
      </w:pPr>
      <w:r w:rsidDel="00000000" w:rsidR="00000000" w:rsidRPr="00000000">
        <w:rPr>
          <w:sz w:val="24"/>
          <w:szCs w:val="24"/>
          <w:rtl w:val="0"/>
        </w:rPr>
        <w:t xml:space="preserve">Tyler Beck</w:t>
      </w:r>
    </w:p>
    <w:p w:rsidR="00000000" w:rsidDel="00000000" w:rsidP="00000000" w:rsidRDefault="00000000" w:rsidRPr="00000000" w14:paraId="00000081">
      <w:pPr>
        <w:rPr>
          <w:sz w:val="24"/>
          <w:szCs w:val="24"/>
        </w:rPr>
      </w:pPr>
      <w:r w:rsidDel="00000000" w:rsidR="00000000" w:rsidRPr="00000000">
        <w:rPr>
          <w:sz w:val="24"/>
          <w:szCs w:val="24"/>
          <w:rtl w:val="0"/>
        </w:rPr>
        <w:t xml:space="preserve">Epilepsy Foundation of America</w:t>
      </w:r>
    </w:p>
    <w:p w:rsidR="00000000" w:rsidDel="00000000" w:rsidP="00000000" w:rsidRDefault="00000000" w:rsidRPr="00000000" w14:paraId="00000082">
      <w:pPr>
        <w:rPr>
          <w:sz w:val="24"/>
          <w:szCs w:val="24"/>
        </w:rPr>
      </w:pPr>
      <w:r w:rsidDel="00000000" w:rsidR="00000000" w:rsidRPr="00000000">
        <w:rPr>
          <w:sz w:val="24"/>
          <w:szCs w:val="24"/>
          <w:rtl w:val="0"/>
        </w:rPr>
        <w:t xml:space="preserve">Co-chair, Transportation Task Force</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2647950" cy="1371600"/>
          <wp:effectExtent b="0" l="0" r="0" t="0"/>
          <wp:docPr descr="White letters spelling &quot;CCD&quot; on green background. Underneath are the words&#10; &quot;Consortium for Constituents with Disabilities.&quot;" id="1" name="image1.jpg"/>
          <a:graphic>
            <a:graphicData uri="http://schemas.openxmlformats.org/drawingml/2006/picture">
              <pic:pic>
                <pic:nvPicPr>
                  <pic:cNvPr descr="White letters spelling &quot;CCD&quot; on green background. Underneath are the words&#10; &quot;Consortium for Constituents with Disabilities.&quot;" id="0" name="image1.jpg"/>
                  <pic:cNvPicPr preferRelativeResize="0"/>
                </pic:nvPicPr>
                <pic:blipFill>
                  <a:blip r:embed="rId1"/>
                  <a:srcRect b="0" l="0" r="0" t="0"/>
                  <a:stretch>
                    <a:fillRect/>
                  </a:stretch>
                </pic:blipFill>
                <pic:spPr>
                  <a:xfrm>
                    <a:off x="0" y="0"/>
                    <a:ext cx="2647950" cy="1371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hhs.gov/about/news/hhs-restructuring-doge-fact-sheet.html" TargetMode="External"/><Relationship Id="rId7" Type="http://schemas.openxmlformats.org/officeDocument/2006/relationships/hyperlink" Target="https://www.nytimes.com/2025/03/12/health/federal-cuts-substance-abuse-mental-health.html?smid=url-shar"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