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February</w:t>
      </w:r>
      <w:r>
        <w:rPr>
          <w:spacing w:val="-2"/>
        </w:rPr>
        <w:t> </w:t>
      </w:r>
      <w:r>
        <w:rPr/>
        <w:t>14,</w:t>
      </w:r>
      <w:r>
        <w:rPr>
          <w:spacing w:val="-2"/>
        </w:rPr>
        <w:t> </w:t>
      </w:r>
      <w:r>
        <w:rPr>
          <w:spacing w:val="-4"/>
        </w:rPr>
        <w:t>2025</w:t>
      </w:r>
    </w:p>
    <w:p>
      <w:pPr>
        <w:pStyle w:val="BodyText"/>
        <w:ind w:left="0"/>
      </w:pPr>
    </w:p>
    <w:p>
      <w:pPr>
        <w:spacing w:before="0"/>
        <w:ind w:left="100" w:right="0" w:firstLine="0"/>
        <w:jc w:val="left"/>
        <w:rPr>
          <w:i/>
          <w:sz w:val="24"/>
        </w:rPr>
      </w:pPr>
      <w:r>
        <w:rPr>
          <w:b/>
          <w:sz w:val="24"/>
        </w:rPr>
        <w:t>ELECTRONIC</w:t>
      </w:r>
      <w:r>
        <w:rPr>
          <w:b/>
          <w:spacing w:val="-2"/>
          <w:sz w:val="24"/>
        </w:rPr>
        <w:t> </w:t>
      </w:r>
      <w:r>
        <w:rPr>
          <w:b/>
          <w:sz w:val="24"/>
        </w:rPr>
        <w:t>SUBMISSION </w:t>
      </w:r>
      <w:r>
        <w:rPr>
          <w:i/>
          <w:sz w:val="24"/>
        </w:rPr>
        <w:t>via</w:t>
      </w:r>
      <w:r>
        <w:rPr>
          <w:i/>
          <w:spacing w:val="-1"/>
          <w:sz w:val="24"/>
        </w:rPr>
        <w:t> </w:t>
      </w:r>
      <w:hyperlink r:id="rId6">
        <w:r>
          <w:rPr>
            <w:i/>
            <w:color w:val="0000FF"/>
            <w:spacing w:val="-2"/>
            <w:sz w:val="24"/>
            <w:u w:val="single" w:color="0000FF"/>
          </w:rPr>
          <w:t>MEDCACnomination@cms.hhs.gov</w:t>
        </w:r>
      </w:hyperlink>
    </w:p>
    <w:p>
      <w:pPr>
        <w:pStyle w:val="BodyText"/>
        <w:ind w:left="0"/>
        <w:rPr>
          <w:i/>
        </w:rPr>
      </w:pPr>
    </w:p>
    <w:p>
      <w:pPr>
        <w:pStyle w:val="BodyText"/>
        <w:ind w:right="7955"/>
      </w:pPr>
      <w:r>
        <w:rPr/>
        <w:t>Leah</w:t>
      </w:r>
      <w:r>
        <w:rPr>
          <w:spacing w:val="-15"/>
        </w:rPr>
        <w:t> </w:t>
      </w:r>
      <w:r>
        <w:rPr/>
        <w:t>Cromwell </w:t>
      </w:r>
      <w:r>
        <w:rPr>
          <w:spacing w:val="-2"/>
        </w:rPr>
        <w:t>Coordinator</w:t>
      </w:r>
    </w:p>
    <w:p>
      <w:pPr>
        <w:pStyle w:val="BodyText"/>
        <w:spacing w:before="1"/>
        <w:ind w:right="3475"/>
      </w:pPr>
      <w:r>
        <w:rPr/>
        <w:t>Medicare</w:t>
      </w:r>
      <w:r>
        <w:rPr>
          <w:spacing w:val="-8"/>
        </w:rPr>
        <w:t> </w:t>
      </w:r>
      <w:r>
        <w:rPr/>
        <w:t>Evidence</w:t>
      </w:r>
      <w:r>
        <w:rPr>
          <w:spacing w:val="-8"/>
        </w:rPr>
        <w:t> </w:t>
      </w:r>
      <w:r>
        <w:rPr/>
        <w:t>Development</w:t>
      </w:r>
      <w:r>
        <w:rPr>
          <w:spacing w:val="-8"/>
        </w:rPr>
        <w:t> </w:t>
      </w:r>
      <w:r>
        <w:rPr/>
        <w:t>&amp;</w:t>
      </w:r>
      <w:r>
        <w:rPr>
          <w:spacing w:val="-8"/>
        </w:rPr>
        <w:t> </w:t>
      </w:r>
      <w:r>
        <w:rPr/>
        <w:t>Coverage</w:t>
      </w:r>
      <w:r>
        <w:rPr>
          <w:spacing w:val="-8"/>
        </w:rPr>
        <w:t> </w:t>
      </w:r>
      <w:r>
        <w:rPr/>
        <w:t>Committee 1100 17</w:t>
      </w:r>
      <w:r>
        <w:rPr>
          <w:vertAlign w:val="superscript"/>
        </w:rPr>
        <w:t>th</w:t>
      </w:r>
      <w:r>
        <w:rPr>
          <w:vertAlign w:val="baseline"/>
        </w:rPr>
        <w:t> Street NW, Suite 400</w:t>
      </w:r>
    </w:p>
    <w:p>
      <w:pPr>
        <w:pStyle w:val="BodyText"/>
      </w:pPr>
      <w:r>
        <w:rPr/>
        <w:t>Washington,</w:t>
      </w:r>
      <w:r>
        <w:rPr>
          <w:spacing w:val="-1"/>
        </w:rPr>
        <w:t> </w:t>
      </w:r>
      <w:r>
        <w:rPr/>
        <w:t>DC</w:t>
      </w:r>
      <w:r>
        <w:rPr>
          <w:spacing w:val="-1"/>
        </w:rPr>
        <w:t> </w:t>
      </w:r>
      <w:r>
        <w:rPr>
          <w:spacing w:val="-2"/>
        </w:rPr>
        <w:t>20036</w:t>
      </w:r>
    </w:p>
    <w:p>
      <w:pPr>
        <w:pStyle w:val="BodyText"/>
        <w:ind w:left="0"/>
      </w:pPr>
    </w:p>
    <w:p>
      <w:pPr>
        <w:pStyle w:val="Heading1"/>
        <w:tabs>
          <w:tab w:pos="1540" w:val="left" w:leader="none"/>
        </w:tabs>
        <w:ind w:left="1540" w:hanging="720"/>
        <w:rPr>
          <w:u w:val="none"/>
        </w:rPr>
      </w:pPr>
      <w:r>
        <w:rPr>
          <w:spacing w:val="-4"/>
          <w:u w:val="none"/>
        </w:rPr>
        <w:t>RE:</w:t>
      </w:r>
      <w:r>
        <w:rPr>
          <w:u w:val="none"/>
        </w:rPr>
        <w:tab/>
      </w:r>
      <w:r>
        <w:rPr>
          <w:u w:val="single"/>
        </w:rPr>
        <w:t>ITEM</w:t>
      </w:r>
      <w:r>
        <w:rPr>
          <w:spacing w:val="-5"/>
          <w:u w:val="single"/>
        </w:rPr>
        <w:t> </w:t>
      </w:r>
      <w:r>
        <w:rPr>
          <w:u w:val="single"/>
        </w:rPr>
        <w:t>Coalition</w:t>
      </w:r>
      <w:r>
        <w:rPr>
          <w:spacing w:val="-2"/>
          <w:u w:val="single"/>
        </w:rPr>
        <w:t> </w:t>
      </w:r>
      <w:r>
        <w:rPr>
          <w:u w:val="single"/>
        </w:rPr>
        <w:t>Support</w:t>
      </w:r>
      <w:r>
        <w:rPr>
          <w:spacing w:val="-5"/>
          <w:u w:val="single"/>
        </w:rPr>
        <w:t> </w:t>
      </w:r>
      <w:r>
        <w:rPr>
          <w:u w:val="single"/>
        </w:rPr>
        <w:t>for</w:t>
      </w:r>
      <w:r>
        <w:rPr>
          <w:spacing w:val="-4"/>
          <w:u w:val="single"/>
        </w:rPr>
        <w:t> </w:t>
      </w:r>
      <w:r>
        <w:rPr>
          <w:u w:val="single"/>
        </w:rPr>
        <w:t>Mary</w:t>
      </w:r>
      <w:r>
        <w:rPr>
          <w:spacing w:val="-4"/>
          <w:u w:val="single"/>
        </w:rPr>
        <w:t> </w:t>
      </w:r>
      <w:r>
        <w:rPr>
          <w:u w:val="single"/>
        </w:rPr>
        <w:t>Ann</w:t>
      </w:r>
      <w:r>
        <w:rPr>
          <w:spacing w:val="-3"/>
          <w:u w:val="single"/>
        </w:rPr>
        <w:t> </w:t>
      </w:r>
      <w:r>
        <w:rPr>
          <w:u w:val="single"/>
        </w:rPr>
        <w:t>Clark’s</w:t>
      </w:r>
      <w:r>
        <w:rPr>
          <w:spacing w:val="-3"/>
          <w:u w:val="single"/>
        </w:rPr>
        <w:t> </w:t>
      </w:r>
      <w:r>
        <w:rPr>
          <w:u w:val="single"/>
        </w:rPr>
        <w:t>Nomination</w:t>
      </w:r>
      <w:r>
        <w:rPr>
          <w:spacing w:val="-4"/>
          <w:u w:val="single"/>
        </w:rPr>
        <w:t> </w:t>
      </w:r>
      <w:r>
        <w:rPr>
          <w:u w:val="single"/>
        </w:rPr>
        <w:t>to</w:t>
      </w:r>
      <w:r>
        <w:rPr>
          <w:spacing w:val="-4"/>
          <w:u w:val="single"/>
        </w:rPr>
        <w:t> </w:t>
      </w:r>
      <w:r>
        <w:rPr>
          <w:u w:val="single"/>
        </w:rPr>
        <w:t>Serve</w:t>
      </w:r>
      <w:r>
        <w:rPr>
          <w:spacing w:val="-5"/>
          <w:u w:val="single"/>
        </w:rPr>
        <w:t> </w:t>
      </w:r>
      <w:r>
        <w:rPr>
          <w:u w:val="single"/>
        </w:rPr>
        <w:t>on</w:t>
      </w:r>
      <w:r>
        <w:rPr>
          <w:spacing w:val="-4"/>
          <w:u w:val="single"/>
        </w:rPr>
        <w:t> </w:t>
      </w:r>
      <w:r>
        <w:rPr>
          <w:u w:val="single"/>
        </w:rPr>
        <w:t>the</w:t>
      </w:r>
      <w:r>
        <w:rPr>
          <w:u w:val="none"/>
        </w:rPr>
        <w:t> </w:t>
      </w:r>
      <w:r>
        <w:rPr>
          <w:u w:val="single"/>
        </w:rPr>
        <w:t>Medicare Evidence Development and Coverage Advisory Committee</w:t>
      </w:r>
      <w:r>
        <w:rPr>
          <w:u w:val="none"/>
        </w:rPr>
        <w:t> </w:t>
      </w:r>
      <w:r>
        <w:rPr>
          <w:spacing w:val="-2"/>
          <w:u w:val="single"/>
        </w:rPr>
        <w:t>(MEDCAC)</w:t>
      </w:r>
    </w:p>
    <w:p>
      <w:pPr>
        <w:pStyle w:val="BodyText"/>
        <w:ind w:left="0"/>
        <w:rPr>
          <w:b/>
        </w:rPr>
      </w:pPr>
    </w:p>
    <w:p>
      <w:pPr>
        <w:pStyle w:val="BodyText"/>
      </w:pPr>
      <w:r>
        <w:rPr/>
        <w:t>Dear</w:t>
      </w:r>
      <w:r>
        <w:rPr>
          <w:spacing w:val="-2"/>
        </w:rPr>
        <w:t> </w:t>
      </w:r>
      <w:r>
        <w:rPr/>
        <w:t>Ms.</w:t>
      </w:r>
      <w:r>
        <w:rPr>
          <w:spacing w:val="-2"/>
        </w:rPr>
        <w:t> Cromwell:</w:t>
      </w:r>
    </w:p>
    <w:p>
      <w:pPr>
        <w:pStyle w:val="BodyText"/>
        <w:ind w:left="0"/>
      </w:pPr>
    </w:p>
    <w:p>
      <w:pPr>
        <w:pStyle w:val="BodyText"/>
        <w:spacing w:before="1"/>
      </w:pPr>
      <w:r>
        <w:rPr/>
        <w:t>The</w:t>
      </w:r>
      <w:r>
        <w:rPr>
          <w:spacing w:val="-3"/>
        </w:rPr>
        <w:t> </w:t>
      </w:r>
      <w:r>
        <w:rPr/>
        <w:t>undersigned</w:t>
      </w:r>
      <w:r>
        <w:rPr>
          <w:spacing w:val="-1"/>
        </w:rPr>
        <w:t> </w:t>
      </w:r>
      <w:r>
        <w:rPr/>
        <w:t>members</w:t>
      </w:r>
      <w:r>
        <w:rPr>
          <w:spacing w:val="-1"/>
        </w:rPr>
        <w:t> </w:t>
      </w:r>
      <w:r>
        <w:rPr/>
        <w:t>of the Independence</w:t>
      </w:r>
      <w:r>
        <w:rPr>
          <w:spacing w:val="-2"/>
        </w:rPr>
        <w:t> </w:t>
      </w:r>
      <w:r>
        <w:rPr/>
        <w:t>Through</w:t>
      </w:r>
      <w:r>
        <w:rPr>
          <w:spacing w:val="-1"/>
        </w:rPr>
        <w:t> </w:t>
      </w:r>
      <w:r>
        <w:rPr/>
        <w:t>Enhancement</w:t>
      </w:r>
      <w:r>
        <w:rPr>
          <w:spacing w:val="-1"/>
        </w:rPr>
        <w:t> </w:t>
      </w:r>
      <w:r>
        <w:rPr/>
        <w:t>of Medicare</w:t>
      </w:r>
      <w:r>
        <w:rPr>
          <w:spacing w:val="-1"/>
        </w:rPr>
        <w:t> </w:t>
      </w:r>
      <w:r>
        <w:rPr>
          <w:spacing w:val="-5"/>
        </w:rPr>
        <w:t>and</w:t>
      </w:r>
    </w:p>
    <w:p>
      <w:pPr>
        <w:pStyle w:val="BodyText"/>
      </w:pPr>
      <w:r>
        <w:rPr/>
        <w:t>Medicaid (“ITEM”) Coalition write</w:t>
      </w:r>
      <w:r>
        <w:rPr>
          <w:spacing w:val="-1"/>
        </w:rPr>
        <w:t> </w:t>
      </w:r>
      <w:r>
        <w:rPr/>
        <w:t>to offer our</w:t>
      </w:r>
      <w:r>
        <w:rPr>
          <w:spacing w:val="-2"/>
        </w:rPr>
        <w:t> </w:t>
      </w:r>
      <w:r>
        <w:rPr/>
        <w:t>strong support for Mary Ann Clark, MHA, to be appointed to the Medicare Evidence Development &amp; Coverage Advisory Committee (“MEDCAC”) as an industry representative.</w:t>
      </w:r>
      <w:r>
        <w:rPr>
          <w:spacing w:val="40"/>
        </w:rPr>
        <w:t> </w:t>
      </w:r>
      <w:r>
        <w:rPr/>
        <w:t>Since 1989, Ms. Clark has spent her entire career working</w:t>
      </w:r>
      <w:r>
        <w:rPr>
          <w:spacing w:val="-4"/>
        </w:rPr>
        <w:t> </w:t>
      </w:r>
      <w:r>
        <w:rPr/>
        <w:t>with</w:t>
      </w:r>
      <w:r>
        <w:rPr>
          <w:spacing w:val="-4"/>
        </w:rPr>
        <w:t> </w:t>
      </w:r>
      <w:r>
        <w:rPr/>
        <w:t>the</w:t>
      </w:r>
      <w:r>
        <w:rPr>
          <w:spacing w:val="-4"/>
        </w:rPr>
        <w:t> </w:t>
      </w:r>
      <w:r>
        <w:rPr/>
        <w:t>Centers</w:t>
      </w:r>
      <w:r>
        <w:rPr>
          <w:spacing w:val="-2"/>
        </w:rPr>
        <w:t> </w:t>
      </w:r>
      <w:r>
        <w:rPr/>
        <w:t>for</w:t>
      </w:r>
      <w:r>
        <w:rPr>
          <w:spacing w:val="-6"/>
        </w:rPr>
        <w:t> </w:t>
      </w:r>
      <w:r>
        <w:rPr/>
        <w:t>Medicare</w:t>
      </w:r>
      <w:r>
        <w:rPr>
          <w:spacing w:val="-4"/>
        </w:rPr>
        <w:t> </w:t>
      </w:r>
      <w:r>
        <w:rPr/>
        <w:t>and</w:t>
      </w:r>
      <w:r>
        <w:rPr>
          <w:spacing w:val="-4"/>
        </w:rPr>
        <w:t> </w:t>
      </w:r>
      <w:r>
        <w:rPr/>
        <w:t>Medicaid</w:t>
      </w:r>
      <w:r>
        <w:rPr>
          <w:spacing w:val="-4"/>
        </w:rPr>
        <w:t> </w:t>
      </w:r>
      <w:r>
        <w:rPr/>
        <w:t>Services</w:t>
      </w:r>
      <w:r>
        <w:rPr>
          <w:spacing w:val="-5"/>
        </w:rPr>
        <w:t> </w:t>
      </w:r>
      <w:r>
        <w:rPr/>
        <w:t>(“CMS”),</w:t>
      </w:r>
      <w:r>
        <w:rPr>
          <w:spacing w:val="-4"/>
        </w:rPr>
        <w:t> </w:t>
      </w:r>
      <w:r>
        <w:rPr/>
        <w:t>commercial</w:t>
      </w:r>
      <w:r>
        <w:rPr>
          <w:spacing w:val="-4"/>
        </w:rPr>
        <w:t> </w:t>
      </w:r>
      <w:r>
        <w:rPr/>
        <w:t>payers,</w:t>
      </w:r>
      <w:r>
        <w:rPr>
          <w:spacing w:val="-4"/>
        </w:rPr>
        <w:t> </w:t>
      </w:r>
      <w:r>
        <w:rPr/>
        <w:t>and providers to improve patient access to critical and innovative medical devices and technologies. We believe that her research and analytical skills combined with her passion for demonstrating improvement in patient outcomes by the highest quality of evidence possible make her a particularly strong candidate for the Committee’s consideration.</w:t>
      </w:r>
    </w:p>
    <w:p>
      <w:pPr>
        <w:pStyle w:val="BodyText"/>
        <w:ind w:left="0"/>
      </w:pPr>
    </w:p>
    <w:p>
      <w:pPr>
        <w:pStyle w:val="BodyText"/>
        <w:ind w:right="110"/>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limb loss, multiple sclerosis, paralysis, cerebral palsy, spina bifida, hearing, speech, and visual impairments, as well as other life-altering conditions.</w:t>
      </w:r>
    </w:p>
    <w:p>
      <w:pPr>
        <w:pStyle w:val="BodyText"/>
        <w:ind w:left="0"/>
      </w:pPr>
    </w:p>
    <w:p>
      <w:pPr>
        <w:pStyle w:val="BodyText"/>
        <w:spacing w:before="1"/>
        <w:ind w:right="139"/>
      </w:pPr>
      <w:r>
        <w:rPr/>
        <w:t>Ms.</w:t>
      </w:r>
      <w:r>
        <w:rPr>
          <w:spacing w:val="-1"/>
        </w:rPr>
        <w:t> </w:t>
      </w:r>
      <w:r>
        <w:rPr/>
        <w:t>Clark</w:t>
      </w:r>
      <w:r>
        <w:rPr>
          <w:spacing w:val="-1"/>
        </w:rPr>
        <w:t> </w:t>
      </w:r>
      <w:r>
        <w:rPr/>
        <w:t>is</w:t>
      </w:r>
      <w:r>
        <w:rPr>
          <w:spacing w:val="-1"/>
        </w:rPr>
        <w:t> </w:t>
      </w:r>
      <w:r>
        <w:rPr/>
        <w:t>known</w:t>
      </w:r>
      <w:r>
        <w:rPr>
          <w:spacing w:val="-1"/>
        </w:rPr>
        <w:t> </w:t>
      </w:r>
      <w:r>
        <w:rPr/>
        <w:t>for</w:t>
      </w:r>
      <w:r>
        <w:rPr>
          <w:spacing w:val="-1"/>
        </w:rPr>
        <w:t> </w:t>
      </w:r>
      <w:r>
        <w:rPr/>
        <w:t>her</w:t>
      </w:r>
      <w:r>
        <w:rPr>
          <w:spacing w:val="-1"/>
        </w:rPr>
        <w:t> </w:t>
      </w:r>
      <w:r>
        <w:rPr/>
        <w:t>expertise</w:t>
      </w:r>
      <w:r>
        <w:rPr>
          <w:spacing w:val="-1"/>
        </w:rPr>
        <w:t> </w:t>
      </w:r>
      <w:r>
        <w:rPr/>
        <w:t>in</w:t>
      </w:r>
      <w:r>
        <w:rPr>
          <w:spacing w:val="-1"/>
        </w:rPr>
        <w:t> </w:t>
      </w:r>
      <w:r>
        <w:rPr/>
        <w:t>Medicare</w:t>
      </w:r>
      <w:r>
        <w:rPr>
          <w:spacing w:val="-1"/>
        </w:rPr>
        <w:t> </w:t>
      </w:r>
      <w:r>
        <w:rPr/>
        <w:t>data</w:t>
      </w:r>
      <w:r>
        <w:rPr>
          <w:spacing w:val="-1"/>
        </w:rPr>
        <w:t> </w:t>
      </w:r>
      <w:r>
        <w:rPr/>
        <w:t>and</w:t>
      </w:r>
      <w:r>
        <w:rPr>
          <w:spacing w:val="-1"/>
        </w:rPr>
        <w:t> </w:t>
      </w:r>
      <w:r>
        <w:rPr/>
        <w:t>reimbursement and</w:t>
      </w:r>
      <w:r>
        <w:rPr>
          <w:spacing w:val="-1"/>
        </w:rPr>
        <w:t> </w:t>
      </w:r>
      <w:r>
        <w:rPr/>
        <w:t>has</w:t>
      </w:r>
      <w:r>
        <w:rPr>
          <w:spacing w:val="-1"/>
        </w:rPr>
        <w:t> </w:t>
      </w:r>
      <w:r>
        <w:rPr/>
        <w:t>authored</w:t>
      </w:r>
      <w:r>
        <w:rPr>
          <w:spacing w:val="-1"/>
        </w:rPr>
        <w:t> </w:t>
      </w:r>
      <w:r>
        <w:rPr/>
        <w:t>over 40 publications on the health outcomes and economic impact for the innovative medical devices and technologies she researches and analyzes.</w:t>
      </w:r>
      <w:r>
        <w:rPr>
          <w:spacing w:val="40"/>
        </w:rPr>
        <w:t> </w:t>
      </w:r>
      <w:r>
        <w:rPr/>
        <w:t>As Medicare coverage is pursued for an increasing number of innovative medical devices and technologies, a trend that is expected to accelerate with time, we believe it is imperative to include informed participation on the MEDCAC</w:t>
      </w:r>
      <w:r>
        <w:rPr>
          <w:spacing w:val="-4"/>
        </w:rPr>
        <w:t> </w:t>
      </w:r>
      <w:r>
        <w:rPr/>
        <w:t>Committee</w:t>
      </w:r>
      <w:r>
        <w:rPr>
          <w:spacing w:val="-5"/>
        </w:rPr>
        <w:t> </w:t>
      </w:r>
      <w:r>
        <w:rPr/>
        <w:t>from</w:t>
      </w:r>
      <w:r>
        <w:rPr>
          <w:spacing w:val="-4"/>
        </w:rPr>
        <w:t> </w:t>
      </w:r>
      <w:r>
        <w:rPr/>
        <w:t>experts</w:t>
      </w:r>
      <w:r>
        <w:rPr>
          <w:spacing w:val="-4"/>
        </w:rPr>
        <w:t> </w:t>
      </w:r>
      <w:r>
        <w:rPr/>
        <w:t>who</w:t>
      </w:r>
      <w:r>
        <w:rPr>
          <w:spacing w:val="-4"/>
        </w:rPr>
        <w:t> </w:t>
      </w:r>
      <w:r>
        <w:rPr/>
        <w:t>understand</w:t>
      </w:r>
      <w:r>
        <w:rPr>
          <w:spacing w:val="-4"/>
        </w:rPr>
        <w:t> </w:t>
      </w:r>
      <w:r>
        <w:rPr/>
        <w:t>medical,</w:t>
      </w:r>
      <w:r>
        <w:rPr>
          <w:spacing w:val="-4"/>
        </w:rPr>
        <w:t> </w:t>
      </w:r>
      <w:r>
        <w:rPr/>
        <w:t>rehabilitation,</w:t>
      </w:r>
      <w:r>
        <w:rPr>
          <w:spacing w:val="-4"/>
        </w:rPr>
        <w:t> </w:t>
      </w:r>
      <w:r>
        <w:rPr/>
        <w:t>and</w:t>
      </w:r>
      <w:r>
        <w:rPr>
          <w:spacing w:val="-4"/>
        </w:rPr>
        <w:t> </w:t>
      </w:r>
      <w:r>
        <w:rPr/>
        <w:t>disability</w:t>
      </w:r>
      <w:r>
        <w:rPr>
          <w:spacing w:val="-4"/>
        </w:rPr>
        <w:t> </w:t>
      </w:r>
      <w:r>
        <w:rPr/>
        <w:t>policy from a variety of perspectives, especially the observational research and analytical perspective.</w:t>
      </w:r>
    </w:p>
    <w:p>
      <w:pPr>
        <w:pStyle w:val="BodyText"/>
        <w:ind w:left="0"/>
        <w:rPr>
          <w:sz w:val="22"/>
        </w:rPr>
      </w:pPr>
    </w:p>
    <w:p>
      <w:pPr>
        <w:pStyle w:val="BodyText"/>
        <w:ind w:left="0"/>
        <w:rPr>
          <w:sz w:val="22"/>
        </w:rPr>
      </w:pPr>
    </w:p>
    <w:p>
      <w:pPr>
        <w:pStyle w:val="BodyText"/>
        <w:ind w:left="0"/>
        <w:rPr>
          <w:sz w:val="22"/>
        </w:rPr>
      </w:pPr>
    </w:p>
    <w:p>
      <w:pPr>
        <w:pStyle w:val="BodyText"/>
        <w:spacing w:before="148"/>
        <w:ind w:left="0"/>
        <w:rPr>
          <w:sz w:val="22"/>
        </w:rPr>
      </w:pPr>
    </w:p>
    <w:p>
      <w:pPr>
        <w:spacing w:before="0"/>
        <w:ind w:left="100" w:right="0" w:firstLine="0"/>
        <w:jc w:val="left"/>
        <w:rPr>
          <w:rFonts w:ascii="Palatino Linotype" w:hAnsi="Palatino Linotype"/>
          <w:sz w:val="22"/>
        </w:rPr>
      </w:pPr>
      <w:r>
        <w:rPr>
          <w:rFonts w:ascii="Palatino Linotype" w:hAnsi="Palatino Linotype"/>
          <w:color w:val="00009E"/>
          <w:sz w:val="22"/>
        </w:rPr>
        <w:t>1501</w:t>
      </w:r>
      <w:r>
        <w:rPr>
          <w:rFonts w:ascii="Palatino Linotype" w:hAnsi="Palatino Linotype"/>
          <w:color w:val="00009E"/>
          <w:spacing w:val="-3"/>
          <w:sz w:val="22"/>
        </w:rPr>
        <w:t> </w:t>
      </w:r>
      <w:r>
        <w:rPr>
          <w:rFonts w:ascii="Palatino Linotype" w:hAnsi="Palatino Linotype"/>
          <w:color w:val="00009E"/>
          <w:sz w:val="22"/>
        </w:rPr>
        <w:t>M</w:t>
      </w:r>
      <w:r>
        <w:rPr>
          <w:rFonts w:ascii="Palatino Linotype" w:hAnsi="Palatino Linotype"/>
          <w:color w:val="00009E"/>
          <w:spacing w:val="-3"/>
          <w:sz w:val="22"/>
        </w:rPr>
        <w:t> </w:t>
      </w:r>
      <w:r>
        <w:rPr>
          <w:rFonts w:ascii="Palatino Linotype" w:hAnsi="Palatino Linotype"/>
          <w:color w:val="00009E"/>
          <w:sz w:val="22"/>
        </w:rPr>
        <w:t>Street</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6"/>
          <w:sz w:val="22"/>
        </w:rPr>
        <w:t> </w:t>
      </w:r>
      <w:r>
        <w:rPr>
          <w:rFonts w:ascii="Palatino Linotype" w:hAnsi="Palatino Linotype"/>
          <w:color w:val="00009E"/>
          <w:sz w:val="22"/>
        </w:rPr>
        <w:t>7</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3"/>
          <w:sz w:val="22"/>
        </w:rPr>
        <w:t> </w:t>
      </w:r>
      <w:r>
        <w:rPr>
          <w:rFonts w:ascii="Palatino Linotype" w:hAnsi="Palatino Linotype"/>
          <w:color w:val="00009E"/>
          <w:sz w:val="22"/>
        </w:rPr>
        <w:t>Washington,</w:t>
      </w:r>
      <w:r>
        <w:rPr>
          <w:rFonts w:ascii="Palatino Linotype" w:hAnsi="Palatino Linotype"/>
          <w:color w:val="00009E"/>
          <w:spacing w:val="-3"/>
          <w:sz w:val="22"/>
        </w:rPr>
        <w:t> </w:t>
      </w:r>
      <w:r>
        <w:rPr>
          <w:rFonts w:ascii="Palatino Linotype" w:hAnsi="Palatino Linotype"/>
          <w:color w:val="00009E"/>
          <w:sz w:val="22"/>
        </w:rPr>
        <w:t>DC</w:t>
      </w:r>
      <w:r>
        <w:rPr>
          <w:rFonts w:ascii="Palatino Linotype" w:hAnsi="Palatino Linotype"/>
          <w:color w:val="00009E"/>
          <w:spacing w:val="-6"/>
          <w:sz w:val="22"/>
        </w:rPr>
        <w:t> </w:t>
      </w:r>
      <w:r>
        <w:rPr>
          <w:rFonts w:ascii="Palatino Linotype" w:hAnsi="Palatino Linotype"/>
          <w:color w:val="00009E"/>
          <w:sz w:val="22"/>
        </w:rPr>
        <w:t>20005</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7">
        <w:r>
          <w:rPr>
            <w:rFonts w:ascii="Palatino Linotype" w:hAnsi="Palatino Linotype"/>
            <w:color w:val="00009E"/>
            <w:sz w:val="22"/>
          </w:rPr>
          <w:t>www.itemcoalition.org</w:t>
        </w:r>
      </w:hyperlink>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3"/>
          <w:sz w:val="22"/>
        </w:rPr>
        <w:t> </w:t>
      </w:r>
      <w:r>
        <w:rPr>
          <w:rFonts w:ascii="Palatino Linotype" w:hAnsi="Palatino Linotype"/>
          <w:color w:val="00009E"/>
          <w:sz w:val="22"/>
        </w:rPr>
        <w:t>202-466-</w:t>
      </w:r>
      <w:r>
        <w:rPr>
          <w:rFonts w:ascii="Palatino Linotype" w:hAnsi="Palatino Linotype"/>
          <w:color w:val="00009E"/>
          <w:spacing w:val="-4"/>
          <w:sz w:val="22"/>
        </w:rPr>
        <w:t>6550</w:t>
      </w:r>
    </w:p>
    <w:p>
      <w:pPr>
        <w:spacing w:after="0"/>
        <w:jc w:val="left"/>
        <w:rPr>
          <w:rFonts w:ascii="Palatino Linotype" w:hAnsi="Palatino Linotype"/>
          <w:sz w:val="22"/>
        </w:rPr>
        <w:sectPr>
          <w:type w:val="continuous"/>
          <w:pgSz w:w="12240" w:h="15840"/>
          <w:pgMar w:top="440" w:bottom="280" w:left="1340" w:right="1340"/>
        </w:sectPr>
      </w:pPr>
    </w:p>
    <w:p>
      <w:pPr>
        <w:pStyle w:val="BodyText"/>
        <w:spacing w:before="79"/>
      </w:pPr>
      <w:r>
        <w:rPr/>
        <w:t>In</w:t>
      </w:r>
      <w:r>
        <w:rPr>
          <w:spacing w:val="-3"/>
        </w:rPr>
        <w:t> </w:t>
      </w:r>
      <w:r>
        <w:rPr/>
        <w:t>her</w:t>
      </w:r>
      <w:r>
        <w:rPr>
          <w:spacing w:val="-3"/>
        </w:rPr>
        <w:t> </w:t>
      </w:r>
      <w:r>
        <w:rPr/>
        <w:t>current</w:t>
      </w:r>
      <w:r>
        <w:rPr>
          <w:spacing w:val="-3"/>
        </w:rPr>
        <w:t> </w:t>
      </w:r>
      <w:r>
        <w:rPr/>
        <w:t>role</w:t>
      </w:r>
      <w:r>
        <w:rPr>
          <w:spacing w:val="-4"/>
        </w:rPr>
        <w:t> </w:t>
      </w:r>
      <w:r>
        <w:rPr/>
        <w:t>as</w:t>
      </w:r>
      <w:r>
        <w:rPr>
          <w:spacing w:val="-3"/>
        </w:rPr>
        <w:t> </w:t>
      </w:r>
      <w:r>
        <w:rPr/>
        <w:t>the</w:t>
      </w:r>
      <w:r>
        <w:rPr>
          <w:spacing w:val="-2"/>
        </w:rPr>
        <w:t> </w:t>
      </w:r>
      <w:r>
        <w:rPr/>
        <w:t>Global</w:t>
      </w:r>
      <w:r>
        <w:rPr>
          <w:spacing w:val="-3"/>
        </w:rPr>
        <w:t> </w:t>
      </w:r>
      <w:r>
        <w:rPr/>
        <w:t>Health</w:t>
      </w:r>
      <w:r>
        <w:rPr>
          <w:spacing w:val="-3"/>
        </w:rPr>
        <w:t> </w:t>
      </w:r>
      <w:r>
        <w:rPr/>
        <w:t>Economics</w:t>
      </w:r>
      <w:r>
        <w:rPr>
          <w:spacing w:val="-3"/>
        </w:rPr>
        <w:t> </w:t>
      </w:r>
      <w:r>
        <w:rPr/>
        <w:t>and</w:t>
      </w:r>
      <w:r>
        <w:rPr>
          <w:spacing w:val="-3"/>
        </w:rPr>
        <w:t> </w:t>
      </w:r>
      <w:r>
        <w:rPr/>
        <w:t>Reimbursement</w:t>
      </w:r>
      <w:r>
        <w:rPr>
          <w:spacing w:val="-3"/>
        </w:rPr>
        <w:t> </w:t>
      </w:r>
      <w:r>
        <w:rPr/>
        <w:t>and</w:t>
      </w:r>
      <w:r>
        <w:rPr>
          <w:spacing w:val="-3"/>
        </w:rPr>
        <w:t> </w:t>
      </w:r>
      <w:r>
        <w:rPr/>
        <w:t>Real-World</w:t>
      </w:r>
      <w:r>
        <w:rPr>
          <w:spacing w:val="-3"/>
        </w:rPr>
        <w:t> </w:t>
      </w:r>
      <w:r>
        <w:rPr/>
        <w:t>Data Strategist at W.L. Gore &amp; Associates, Ms. Clark develops global strategies for Gore’s aortic (vascular/endovascular/cardiothoracic surgery) products to create and implement value propositions and evidence plans ensuring payer, provider, and patient needs are considered.</w:t>
      </w:r>
    </w:p>
    <w:p>
      <w:pPr>
        <w:pStyle w:val="BodyText"/>
      </w:pPr>
      <w:r>
        <w:rPr/>
        <w:t>Furthermore,</w:t>
      </w:r>
      <w:r>
        <w:rPr>
          <w:spacing w:val="-4"/>
        </w:rPr>
        <w:t> </w:t>
      </w:r>
      <w:r>
        <w:rPr/>
        <w:t>she</w:t>
      </w:r>
      <w:r>
        <w:rPr>
          <w:spacing w:val="-3"/>
        </w:rPr>
        <w:t> </w:t>
      </w:r>
      <w:r>
        <w:rPr/>
        <w:t>also</w:t>
      </w:r>
      <w:r>
        <w:rPr>
          <w:spacing w:val="-4"/>
        </w:rPr>
        <w:t> </w:t>
      </w:r>
      <w:r>
        <w:rPr/>
        <w:t>works</w:t>
      </w:r>
      <w:r>
        <w:rPr>
          <w:spacing w:val="-4"/>
        </w:rPr>
        <w:t> </w:t>
      </w:r>
      <w:r>
        <w:rPr/>
        <w:t>to</w:t>
      </w:r>
      <w:r>
        <w:rPr>
          <w:spacing w:val="-4"/>
        </w:rPr>
        <w:t> </w:t>
      </w:r>
      <w:r>
        <w:rPr/>
        <w:t>advance</w:t>
      </w:r>
      <w:r>
        <w:rPr>
          <w:spacing w:val="-5"/>
        </w:rPr>
        <w:t> </w:t>
      </w:r>
      <w:r>
        <w:rPr/>
        <w:t>strategies</w:t>
      </w:r>
      <w:r>
        <w:rPr>
          <w:spacing w:val="-2"/>
        </w:rPr>
        <w:t> </w:t>
      </w:r>
      <w:r>
        <w:rPr/>
        <w:t>to</w:t>
      </w:r>
      <w:r>
        <w:rPr>
          <w:spacing w:val="-4"/>
        </w:rPr>
        <w:t> </w:t>
      </w:r>
      <w:r>
        <w:rPr/>
        <w:t>overcome</w:t>
      </w:r>
      <w:r>
        <w:rPr>
          <w:spacing w:val="-4"/>
        </w:rPr>
        <w:t> </w:t>
      </w:r>
      <w:r>
        <w:rPr/>
        <w:t>payer</w:t>
      </w:r>
      <w:r>
        <w:rPr>
          <w:spacing w:val="-3"/>
        </w:rPr>
        <w:t> </w:t>
      </w:r>
      <w:r>
        <w:rPr/>
        <w:t>and</w:t>
      </w:r>
      <w:r>
        <w:rPr>
          <w:spacing w:val="-4"/>
        </w:rPr>
        <w:t> </w:t>
      </w:r>
      <w:r>
        <w:rPr/>
        <w:t>provider</w:t>
      </w:r>
      <w:r>
        <w:rPr>
          <w:spacing w:val="-6"/>
        </w:rPr>
        <w:t> </w:t>
      </w:r>
      <w:r>
        <w:rPr/>
        <w:t>barriers</w:t>
      </w:r>
      <w:r>
        <w:rPr>
          <w:spacing w:val="-4"/>
        </w:rPr>
        <w:t> </w:t>
      </w:r>
      <w:r>
        <w:rPr/>
        <w:t>to adoption in both pre- and post-market phases, including clinical trial design and evidence requirements and assessing/evolving short and long-term reimbursement opportunities.</w:t>
      </w:r>
    </w:p>
    <w:p>
      <w:pPr>
        <w:pStyle w:val="BodyText"/>
        <w:ind w:left="0"/>
      </w:pPr>
    </w:p>
    <w:p>
      <w:pPr>
        <w:pStyle w:val="BodyText"/>
        <w:ind w:right="274"/>
      </w:pPr>
      <w:r>
        <w:rPr/>
        <w:t>Ms.</w:t>
      </w:r>
      <w:r>
        <w:rPr>
          <w:spacing w:val="-3"/>
        </w:rPr>
        <w:t> </w:t>
      </w:r>
      <w:r>
        <w:rPr/>
        <w:t>Clark</w:t>
      </w:r>
      <w:r>
        <w:rPr>
          <w:spacing w:val="-3"/>
        </w:rPr>
        <w:t> </w:t>
      </w:r>
      <w:r>
        <w:rPr/>
        <w:t>is</w:t>
      </w:r>
      <w:r>
        <w:rPr>
          <w:spacing w:val="-4"/>
        </w:rPr>
        <w:t> </w:t>
      </w:r>
      <w:r>
        <w:rPr/>
        <w:t>also</w:t>
      </w:r>
      <w:r>
        <w:rPr>
          <w:spacing w:val="-3"/>
        </w:rPr>
        <w:t> </w:t>
      </w:r>
      <w:r>
        <w:rPr/>
        <w:t>a</w:t>
      </w:r>
      <w:r>
        <w:rPr>
          <w:spacing w:val="-3"/>
        </w:rPr>
        <w:t> </w:t>
      </w:r>
      <w:r>
        <w:rPr/>
        <w:t>technical</w:t>
      </w:r>
      <w:r>
        <w:rPr>
          <w:spacing w:val="-3"/>
        </w:rPr>
        <w:t> </w:t>
      </w:r>
      <w:r>
        <w:rPr/>
        <w:t>advisor</w:t>
      </w:r>
      <w:r>
        <w:rPr>
          <w:spacing w:val="-3"/>
        </w:rPr>
        <w:t> </w:t>
      </w:r>
      <w:r>
        <w:rPr/>
        <w:t>on</w:t>
      </w:r>
      <w:r>
        <w:rPr>
          <w:spacing w:val="-3"/>
        </w:rPr>
        <w:t> </w:t>
      </w:r>
      <w:r>
        <w:rPr/>
        <w:t>Gore’s</w:t>
      </w:r>
      <w:r>
        <w:rPr>
          <w:spacing w:val="-4"/>
        </w:rPr>
        <w:t> </w:t>
      </w:r>
      <w:r>
        <w:rPr/>
        <w:t>Medicare</w:t>
      </w:r>
      <w:r>
        <w:rPr>
          <w:spacing w:val="-5"/>
        </w:rPr>
        <w:t> </w:t>
      </w:r>
      <w:r>
        <w:rPr/>
        <w:t>data</w:t>
      </w:r>
      <w:r>
        <w:rPr>
          <w:spacing w:val="-3"/>
        </w:rPr>
        <w:t> </w:t>
      </w:r>
      <w:r>
        <w:rPr/>
        <w:t>assets</w:t>
      </w:r>
      <w:r>
        <w:rPr>
          <w:spacing w:val="-1"/>
        </w:rPr>
        <w:t> </w:t>
      </w:r>
      <w:r>
        <w:rPr/>
        <w:t>and</w:t>
      </w:r>
      <w:r>
        <w:rPr>
          <w:spacing w:val="-3"/>
        </w:rPr>
        <w:t> </w:t>
      </w:r>
      <w:r>
        <w:rPr/>
        <w:t>Medicare</w:t>
      </w:r>
      <w:r>
        <w:rPr>
          <w:spacing w:val="-5"/>
        </w:rPr>
        <w:t> </w:t>
      </w:r>
      <w:r>
        <w:rPr/>
        <w:t>payment policy analyses.</w:t>
      </w:r>
      <w:r>
        <w:rPr>
          <w:spacing w:val="40"/>
        </w:rPr>
        <w:t> </w:t>
      </w:r>
      <w:r>
        <w:rPr/>
        <w:t>She currently serves as a member of the Medical Device Innovation</w:t>
      </w:r>
    </w:p>
    <w:p>
      <w:pPr>
        <w:pStyle w:val="BodyText"/>
        <w:spacing w:before="1"/>
        <w:ind w:right="110"/>
      </w:pPr>
      <w:r>
        <w:rPr/>
        <w:t>Consortium</w:t>
      </w:r>
      <w:r>
        <w:rPr>
          <w:spacing w:val="-4"/>
        </w:rPr>
        <w:t> </w:t>
      </w:r>
      <w:r>
        <w:rPr/>
        <w:t>(“MDIC”)</w:t>
      </w:r>
      <w:r>
        <w:rPr>
          <w:spacing w:val="-4"/>
        </w:rPr>
        <w:t> </w:t>
      </w:r>
      <w:r>
        <w:rPr/>
        <w:t>Health</w:t>
      </w:r>
      <w:r>
        <w:rPr>
          <w:spacing w:val="-4"/>
        </w:rPr>
        <w:t> </w:t>
      </w:r>
      <w:r>
        <w:rPr/>
        <w:t>Economics</w:t>
      </w:r>
      <w:r>
        <w:rPr>
          <w:spacing w:val="-5"/>
        </w:rPr>
        <w:t> </w:t>
      </w:r>
      <w:r>
        <w:rPr/>
        <w:t>and</w:t>
      </w:r>
      <w:r>
        <w:rPr>
          <w:spacing w:val="-4"/>
        </w:rPr>
        <w:t> </w:t>
      </w:r>
      <w:r>
        <w:rPr/>
        <w:t>Patient</w:t>
      </w:r>
      <w:r>
        <w:rPr>
          <w:spacing w:val="-4"/>
        </w:rPr>
        <w:t> </w:t>
      </w:r>
      <w:r>
        <w:rPr/>
        <w:t>Value</w:t>
      </w:r>
      <w:r>
        <w:rPr>
          <w:spacing w:val="-4"/>
        </w:rPr>
        <w:t> </w:t>
      </w:r>
      <w:r>
        <w:rPr/>
        <w:t>Executive</w:t>
      </w:r>
      <w:r>
        <w:rPr>
          <w:spacing w:val="-5"/>
        </w:rPr>
        <w:t> </w:t>
      </w:r>
      <w:r>
        <w:rPr/>
        <w:t>Committee,</w:t>
      </w:r>
      <w:r>
        <w:rPr>
          <w:spacing w:val="-4"/>
        </w:rPr>
        <w:t> </w:t>
      </w:r>
      <w:r>
        <w:rPr/>
        <w:t>and</w:t>
      </w:r>
      <w:r>
        <w:rPr>
          <w:spacing w:val="-4"/>
        </w:rPr>
        <w:t> </w:t>
      </w:r>
      <w:r>
        <w:rPr/>
        <w:t>has been an invited participant as a speaker for the Dartmouth 3D Medical Device Symposium for many consecutive years.</w:t>
      </w:r>
    </w:p>
    <w:p>
      <w:pPr>
        <w:pStyle w:val="BodyText"/>
        <w:ind w:left="0"/>
      </w:pPr>
    </w:p>
    <w:p>
      <w:pPr>
        <w:pStyle w:val="BodyText"/>
        <w:ind w:right="274"/>
      </w:pPr>
      <w:r>
        <w:rPr/>
        <w:t>Ms.</w:t>
      </w:r>
      <w:r>
        <w:rPr>
          <w:spacing w:val="-4"/>
        </w:rPr>
        <w:t> </w:t>
      </w:r>
      <w:r>
        <w:rPr/>
        <w:t>Clark’s</w:t>
      </w:r>
      <w:r>
        <w:rPr>
          <w:spacing w:val="-5"/>
        </w:rPr>
        <w:t> </w:t>
      </w:r>
      <w:r>
        <w:rPr/>
        <w:t>qualifications</w:t>
      </w:r>
      <w:r>
        <w:rPr>
          <w:spacing w:val="-4"/>
        </w:rPr>
        <w:t> </w:t>
      </w:r>
      <w:r>
        <w:rPr/>
        <w:t>for</w:t>
      </w:r>
      <w:r>
        <w:rPr>
          <w:spacing w:val="-5"/>
        </w:rPr>
        <w:t> </w:t>
      </w:r>
      <w:r>
        <w:rPr/>
        <w:t>serving</w:t>
      </w:r>
      <w:r>
        <w:rPr>
          <w:spacing w:val="-4"/>
        </w:rPr>
        <w:t> </w:t>
      </w:r>
      <w:r>
        <w:rPr/>
        <w:t>on</w:t>
      </w:r>
      <w:r>
        <w:rPr>
          <w:spacing w:val="-4"/>
        </w:rPr>
        <w:t> </w:t>
      </w:r>
      <w:r>
        <w:rPr/>
        <w:t>the</w:t>
      </w:r>
      <w:r>
        <w:rPr>
          <w:spacing w:val="-4"/>
        </w:rPr>
        <w:t> </w:t>
      </w:r>
      <w:r>
        <w:rPr/>
        <w:t>MEDCAC</w:t>
      </w:r>
      <w:r>
        <w:rPr>
          <w:spacing w:val="-4"/>
        </w:rPr>
        <w:t> </w:t>
      </w:r>
      <w:r>
        <w:rPr/>
        <w:t>Committee</w:t>
      </w:r>
      <w:r>
        <w:rPr>
          <w:spacing w:val="-5"/>
        </w:rPr>
        <w:t> </w:t>
      </w:r>
      <w:r>
        <w:rPr/>
        <w:t>are</w:t>
      </w:r>
      <w:r>
        <w:rPr>
          <w:spacing w:val="-5"/>
        </w:rPr>
        <w:t> </w:t>
      </w:r>
      <w:r>
        <w:rPr/>
        <w:t>further</w:t>
      </w:r>
      <w:r>
        <w:rPr>
          <w:spacing w:val="-4"/>
        </w:rPr>
        <w:t> </w:t>
      </w:r>
      <w:r>
        <w:rPr/>
        <w:t>demonstrated</w:t>
      </w:r>
      <w:r>
        <w:rPr>
          <w:spacing w:val="-4"/>
        </w:rPr>
        <w:t> </w:t>
      </w:r>
      <w:r>
        <w:rPr/>
        <w:t>by her extensive previous experience on various guideline and measure development committees. Notably, she has contributed to the National Quality Forum’s (NQF) Cardiovascular and</w:t>
      </w:r>
    </w:p>
    <w:p>
      <w:pPr>
        <w:pStyle w:val="BodyText"/>
      </w:pPr>
      <w:r>
        <w:rPr/>
        <w:t>Diabetes</w:t>
      </w:r>
      <w:r>
        <w:rPr>
          <w:spacing w:val="-3"/>
        </w:rPr>
        <w:t> </w:t>
      </w:r>
      <w:r>
        <w:rPr/>
        <w:t>Resource</w:t>
      </w:r>
      <w:r>
        <w:rPr>
          <w:spacing w:val="-4"/>
        </w:rPr>
        <w:t> </w:t>
      </w:r>
      <w:r>
        <w:rPr/>
        <w:t>Use</w:t>
      </w:r>
      <w:r>
        <w:rPr>
          <w:spacing w:val="-2"/>
        </w:rPr>
        <w:t> </w:t>
      </w:r>
      <w:r>
        <w:rPr/>
        <w:t>Measures</w:t>
      </w:r>
      <w:r>
        <w:rPr>
          <w:spacing w:val="-3"/>
        </w:rPr>
        <w:t> </w:t>
      </w:r>
      <w:r>
        <w:rPr/>
        <w:t>Technical</w:t>
      </w:r>
      <w:r>
        <w:rPr>
          <w:spacing w:val="-3"/>
        </w:rPr>
        <w:t> </w:t>
      </w:r>
      <w:r>
        <w:rPr/>
        <w:t>Advisory</w:t>
      </w:r>
      <w:r>
        <w:rPr>
          <w:spacing w:val="-3"/>
        </w:rPr>
        <w:t> </w:t>
      </w:r>
      <w:r>
        <w:rPr/>
        <w:t>Panel</w:t>
      </w:r>
      <w:r>
        <w:rPr>
          <w:spacing w:val="-3"/>
        </w:rPr>
        <w:t> </w:t>
      </w:r>
      <w:r>
        <w:rPr/>
        <w:t>and</w:t>
      </w:r>
      <w:r>
        <w:rPr>
          <w:spacing w:val="-3"/>
        </w:rPr>
        <w:t> </w:t>
      </w:r>
      <w:r>
        <w:rPr/>
        <w:t>the</w:t>
      </w:r>
      <w:r>
        <w:rPr>
          <w:spacing w:val="-4"/>
        </w:rPr>
        <w:t> </w:t>
      </w:r>
      <w:r>
        <w:rPr/>
        <w:t>Steering</w:t>
      </w:r>
      <w:r>
        <w:rPr>
          <w:spacing w:val="-3"/>
        </w:rPr>
        <w:t> </w:t>
      </w:r>
      <w:r>
        <w:rPr/>
        <w:t>Committee</w:t>
      </w:r>
      <w:r>
        <w:rPr>
          <w:spacing w:val="-5"/>
        </w:rPr>
        <w:t> </w:t>
      </w:r>
      <w:r>
        <w:rPr/>
        <w:t>on</w:t>
      </w:r>
      <w:r>
        <w:rPr>
          <w:spacing w:val="-3"/>
        </w:rPr>
        <w:t> </w:t>
      </w:r>
      <w:r>
        <w:rPr/>
        <w:t>Cost and Resource Use Measures. Additionally, she has served on the American Heart Association’s Council on Quality of Care and Outcomes Research and the International Society for Pharmacoeconomics and Outcomes Research (ISPOR) Task Force on Retrospective Databases. This breadth of experience</w:t>
      </w:r>
      <w:r>
        <w:rPr>
          <w:spacing w:val="-1"/>
        </w:rPr>
        <w:t> </w:t>
      </w:r>
      <w:r>
        <w:rPr/>
        <w:t>underscores the</w:t>
      </w:r>
      <w:r>
        <w:rPr>
          <w:spacing w:val="-1"/>
        </w:rPr>
        <w:t> </w:t>
      </w:r>
      <w:r>
        <w:rPr/>
        <w:t>level of</w:t>
      </w:r>
      <w:r>
        <w:rPr>
          <w:spacing w:val="-1"/>
        </w:rPr>
        <w:t> </w:t>
      </w:r>
      <w:r>
        <w:rPr/>
        <w:t>her expertise and would make</w:t>
      </w:r>
      <w:r>
        <w:rPr>
          <w:spacing w:val="-2"/>
        </w:rPr>
        <w:t> </w:t>
      </w:r>
      <w:r>
        <w:rPr/>
        <w:t>her a</w:t>
      </w:r>
      <w:r>
        <w:rPr>
          <w:spacing w:val="-1"/>
        </w:rPr>
        <w:t> </w:t>
      </w:r>
      <w:r>
        <w:rPr/>
        <w:t>valuable asset to MEDCAC.</w:t>
      </w:r>
    </w:p>
    <w:p>
      <w:pPr>
        <w:pStyle w:val="BodyText"/>
        <w:spacing w:before="1"/>
        <w:ind w:left="0"/>
      </w:pPr>
    </w:p>
    <w:p>
      <w:pPr>
        <w:pStyle w:val="BodyText"/>
        <w:ind w:right="613"/>
      </w:pPr>
      <w:r>
        <w:rPr/>
        <w:t>Ms. Clark’s deep expertise in the innovative device and technology field, commitment to evidence-based</w:t>
      </w:r>
      <w:r>
        <w:rPr>
          <w:spacing w:val="-5"/>
        </w:rPr>
        <w:t> </w:t>
      </w:r>
      <w:r>
        <w:rPr/>
        <w:t>policymaking,</w:t>
      </w:r>
      <w:r>
        <w:rPr>
          <w:spacing w:val="-5"/>
        </w:rPr>
        <w:t> </w:t>
      </w:r>
      <w:r>
        <w:rPr/>
        <w:t>and</w:t>
      </w:r>
      <w:r>
        <w:rPr>
          <w:spacing w:val="-5"/>
        </w:rPr>
        <w:t> </w:t>
      </w:r>
      <w:r>
        <w:rPr/>
        <w:t>ability</w:t>
      </w:r>
      <w:r>
        <w:rPr>
          <w:spacing w:val="-5"/>
        </w:rPr>
        <w:t> </w:t>
      </w:r>
      <w:r>
        <w:rPr/>
        <w:t>to</w:t>
      </w:r>
      <w:r>
        <w:rPr>
          <w:spacing w:val="-5"/>
        </w:rPr>
        <w:t> </w:t>
      </w:r>
      <w:r>
        <w:rPr/>
        <w:t>thoughtfully</w:t>
      </w:r>
      <w:r>
        <w:rPr>
          <w:spacing w:val="-5"/>
        </w:rPr>
        <w:t> </w:t>
      </w:r>
      <w:r>
        <w:rPr/>
        <w:t>analyze</w:t>
      </w:r>
      <w:r>
        <w:rPr>
          <w:spacing w:val="-7"/>
        </w:rPr>
        <w:t> </w:t>
      </w:r>
      <w:r>
        <w:rPr/>
        <w:t>complex</w:t>
      </w:r>
      <w:r>
        <w:rPr>
          <w:spacing w:val="-3"/>
        </w:rPr>
        <w:t> </w:t>
      </w:r>
      <w:r>
        <w:rPr/>
        <w:t>healthcare</w:t>
      </w:r>
      <w:r>
        <w:rPr>
          <w:spacing w:val="-6"/>
        </w:rPr>
        <w:t> </w:t>
      </w:r>
      <w:r>
        <w:rPr/>
        <w:t>issues make her exceptionally well-suited for this role.</w:t>
      </w:r>
      <w:r>
        <w:rPr>
          <w:spacing w:val="40"/>
        </w:rPr>
        <w:t> </w:t>
      </w:r>
      <w:r>
        <w:rPr/>
        <w:t>The ITEM Coalition is confident that her</w:t>
      </w:r>
    </w:p>
    <w:p>
      <w:pPr>
        <w:pStyle w:val="BodyText"/>
      </w:pPr>
      <w:r>
        <w:rPr/>
        <w:t>contributions</w:t>
      </w:r>
      <w:r>
        <w:rPr>
          <w:spacing w:val="-4"/>
        </w:rPr>
        <w:t> </w:t>
      </w:r>
      <w:r>
        <w:rPr/>
        <w:t>will</w:t>
      </w:r>
      <w:r>
        <w:rPr>
          <w:spacing w:val="-3"/>
        </w:rPr>
        <w:t> </w:t>
      </w:r>
      <w:r>
        <w:rPr/>
        <w:t>be</w:t>
      </w:r>
      <w:r>
        <w:rPr>
          <w:spacing w:val="-4"/>
        </w:rPr>
        <w:t> </w:t>
      </w:r>
      <w:r>
        <w:rPr/>
        <w:t>invaluable</w:t>
      </w:r>
      <w:r>
        <w:rPr>
          <w:spacing w:val="-3"/>
        </w:rPr>
        <w:t> </w:t>
      </w:r>
      <w:r>
        <w:rPr/>
        <w:t>to</w:t>
      </w:r>
      <w:r>
        <w:rPr>
          <w:spacing w:val="-3"/>
        </w:rPr>
        <w:t> </w:t>
      </w:r>
      <w:r>
        <w:rPr/>
        <w:t>MEDCAC’s</w:t>
      </w:r>
      <w:r>
        <w:rPr>
          <w:spacing w:val="-4"/>
        </w:rPr>
        <w:t> </w:t>
      </w:r>
      <w:r>
        <w:rPr/>
        <w:t>mission</w:t>
      </w:r>
      <w:r>
        <w:rPr>
          <w:spacing w:val="-3"/>
        </w:rPr>
        <w:t> </w:t>
      </w:r>
      <w:r>
        <w:rPr/>
        <w:t>of</w:t>
      </w:r>
      <w:r>
        <w:rPr>
          <w:spacing w:val="-4"/>
        </w:rPr>
        <w:t> </w:t>
      </w:r>
      <w:r>
        <w:rPr/>
        <w:t>ensuring</w:t>
      </w:r>
      <w:r>
        <w:rPr>
          <w:spacing w:val="-3"/>
        </w:rPr>
        <w:t> </w:t>
      </w:r>
      <w:r>
        <w:rPr/>
        <w:t>Medicare</w:t>
      </w:r>
      <w:r>
        <w:rPr>
          <w:spacing w:val="-5"/>
        </w:rPr>
        <w:t> </w:t>
      </w:r>
      <w:r>
        <w:rPr/>
        <w:t>coverage</w:t>
      </w:r>
      <w:r>
        <w:rPr>
          <w:spacing w:val="-4"/>
        </w:rPr>
        <w:t> </w:t>
      </w:r>
      <w:r>
        <w:rPr/>
        <w:t>decisions are grounded in rigorous scientific evidence and the best interest of Medicare beneficiaries.</w:t>
      </w:r>
    </w:p>
    <w:p>
      <w:pPr>
        <w:pStyle w:val="BodyText"/>
        <w:ind w:left="0"/>
      </w:pPr>
    </w:p>
    <w:p>
      <w:pPr>
        <w:pStyle w:val="Heading1"/>
        <w:rPr>
          <w:u w:val="none"/>
        </w:rPr>
      </w:pPr>
      <w:r>
        <w:rPr>
          <w:u w:val="none"/>
        </w:rPr>
        <w:t>For</w:t>
      </w:r>
      <w:r>
        <w:rPr>
          <w:spacing w:val="-5"/>
          <w:u w:val="none"/>
        </w:rPr>
        <w:t> </w:t>
      </w:r>
      <w:r>
        <w:rPr>
          <w:u w:val="none"/>
        </w:rPr>
        <w:t>these</w:t>
      </w:r>
      <w:r>
        <w:rPr>
          <w:spacing w:val="-5"/>
          <w:u w:val="none"/>
        </w:rPr>
        <w:t> </w:t>
      </w:r>
      <w:r>
        <w:rPr>
          <w:u w:val="none"/>
        </w:rPr>
        <w:t>reasons,</w:t>
      </w:r>
      <w:r>
        <w:rPr>
          <w:spacing w:val="-3"/>
          <w:u w:val="none"/>
        </w:rPr>
        <w:t> </w:t>
      </w:r>
      <w:r>
        <w:rPr>
          <w:u w:val="none"/>
        </w:rPr>
        <w:t>the</w:t>
      </w:r>
      <w:r>
        <w:rPr>
          <w:spacing w:val="-4"/>
          <w:u w:val="none"/>
        </w:rPr>
        <w:t> </w:t>
      </w:r>
      <w:r>
        <w:rPr>
          <w:u w:val="none"/>
        </w:rPr>
        <w:t>ITEM</w:t>
      </w:r>
      <w:r>
        <w:rPr>
          <w:spacing w:val="-4"/>
          <w:u w:val="none"/>
        </w:rPr>
        <w:t> </w:t>
      </w:r>
      <w:r>
        <w:rPr>
          <w:u w:val="none"/>
        </w:rPr>
        <w:t>Coalition</w:t>
      </w:r>
      <w:r>
        <w:rPr>
          <w:spacing w:val="-1"/>
          <w:u w:val="none"/>
        </w:rPr>
        <w:t> </w:t>
      </w:r>
      <w:r>
        <w:rPr>
          <w:u w:val="none"/>
        </w:rPr>
        <w:t>strongly</w:t>
      </w:r>
      <w:r>
        <w:rPr>
          <w:spacing w:val="-5"/>
          <w:u w:val="none"/>
        </w:rPr>
        <w:t> </w:t>
      </w:r>
      <w:r>
        <w:rPr>
          <w:u w:val="none"/>
        </w:rPr>
        <w:t>supports</w:t>
      </w:r>
      <w:r>
        <w:rPr>
          <w:spacing w:val="-3"/>
          <w:u w:val="none"/>
        </w:rPr>
        <w:t> </w:t>
      </w:r>
      <w:r>
        <w:rPr>
          <w:u w:val="none"/>
        </w:rPr>
        <w:t>the</w:t>
      </w:r>
      <w:r>
        <w:rPr>
          <w:spacing w:val="-4"/>
          <w:u w:val="none"/>
        </w:rPr>
        <w:t> </w:t>
      </w:r>
      <w:r>
        <w:rPr>
          <w:u w:val="none"/>
        </w:rPr>
        <w:t>nomination</w:t>
      </w:r>
      <w:r>
        <w:rPr>
          <w:spacing w:val="-2"/>
          <w:u w:val="none"/>
        </w:rPr>
        <w:t> </w:t>
      </w:r>
      <w:r>
        <w:rPr>
          <w:u w:val="none"/>
        </w:rPr>
        <w:t>of</w:t>
      </w:r>
      <w:r>
        <w:rPr>
          <w:spacing w:val="-4"/>
          <w:u w:val="none"/>
        </w:rPr>
        <w:t> </w:t>
      </w:r>
      <w:r>
        <w:rPr>
          <w:u w:val="none"/>
        </w:rPr>
        <w:t>Mary</w:t>
      </w:r>
      <w:r>
        <w:rPr>
          <w:spacing w:val="-3"/>
          <w:u w:val="none"/>
        </w:rPr>
        <w:t> </w:t>
      </w:r>
      <w:r>
        <w:rPr>
          <w:u w:val="none"/>
        </w:rPr>
        <w:t>Ann Clark to membership on the Medicare Evidence Development &amp; Coverage Advisory </w:t>
      </w:r>
      <w:r>
        <w:rPr>
          <w:spacing w:val="-2"/>
          <w:u w:val="none"/>
        </w:rPr>
        <w:t>Committee.</w:t>
      </w:r>
    </w:p>
    <w:p>
      <w:pPr>
        <w:pStyle w:val="BodyText"/>
        <w:ind w:left="0"/>
        <w:rPr>
          <w:b/>
        </w:rPr>
      </w:pPr>
    </w:p>
    <w:p>
      <w:pPr>
        <w:pStyle w:val="BodyText"/>
        <w:ind w:left="0"/>
        <w:rPr>
          <w:b/>
        </w:rPr>
      </w:pPr>
    </w:p>
    <w:p>
      <w:pPr>
        <w:spacing w:before="1"/>
        <w:ind w:left="2" w:right="0" w:firstLine="0"/>
        <w:jc w:val="center"/>
        <w:rPr>
          <w:sz w:val="24"/>
        </w:rPr>
      </w:pPr>
      <w:r>
        <w:rPr>
          <w:spacing w:val="-2"/>
          <w:sz w:val="24"/>
        </w:rPr>
        <w:t>************</w:t>
      </w:r>
    </w:p>
    <w:p>
      <w:pPr>
        <w:pStyle w:val="BodyText"/>
        <w:spacing w:line="259" w:lineRule="auto" w:before="180"/>
        <w:ind w:right="175"/>
      </w:pPr>
      <w:r>
        <w:rPr/>
        <w:t>We greatly appreciate your consideration of our endorsement of Mary Ann’s candidacy to be appointed to MEDCAC. Should you have any further questions, please contact Peter Thomas and Michael Barnett, coordinators for the ITEM Coalition, by e-mailing </w:t>
      </w:r>
      <w:hyperlink r:id="rId9">
        <w:r>
          <w:rPr>
            <w:color w:val="0462C1"/>
            <w:u w:val="single" w:color="0462C1"/>
          </w:rPr>
          <w:t>Peter.Thomas@PowersLaw.com</w:t>
        </w:r>
      </w:hyperlink>
      <w:r>
        <w:rPr>
          <w:color w:val="0462C1"/>
          <w:spacing w:val="-6"/>
          <w:u w:val="none"/>
        </w:rPr>
        <w:t> </w:t>
      </w:r>
      <w:r>
        <w:rPr>
          <w:u w:val="none"/>
        </w:rPr>
        <w:t>and</w:t>
      </w:r>
      <w:r>
        <w:rPr>
          <w:spacing w:val="-7"/>
          <w:u w:val="none"/>
        </w:rPr>
        <w:t> </w:t>
      </w:r>
      <w:hyperlink r:id="rId10">
        <w:r>
          <w:rPr>
            <w:color w:val="0462C1"/>
            <w:u w:val="single" w:color="0462C1"/>
          </w:rPr>
          <w:t>Michael.Barnett@PowersLaw.com</w:t>
        </w:r>
      </w:hyperlink>
      <w:r>
        <w:rPr>
          <w:color w:val="0462C1"/>
          <w:spacing w:val="-6"/>
          <w:u w:val="none"/>
        </w:rPr>
        <w:t> </w:t>
      </w:r>
      <w:r>
        <w:rPr>
          <w:u w:val="none"/>
        </w:rPr>
        <w:t>or</w:t>
      </w:r>
      <w:r>
        <w:rPr>
          <w:spacing w:val="-6"/>
          <w:u w:val="none"/>
        </w:rPr>
        <w:t> </w:t>
      </w:r>
      <w:r>
        <w:rPr>
          <w:u w:val="none"/>
        </w:rPr>
        <w:t>by</w:t>
      </w:r>
      <w:r>
        <w:rPr>
          <w:spacing w:val="-7"/>
          <w:u w:val="none"/>
        </w:rPr>
        <w:t> </w:t>
      </w:r>
      <w:r>
        <w:rPr>
          <w:u w:val="none"/>
        </w:rPr>
        <w:t>calling</w:t>
      </w:r>
      <w:r>
        <w:rPr>
          <w:spacing w:val="-7"/>
          <w:u w:val="none"/>
        </w:rPr>
        <w:t> </w:t>
      </w:r>
      <w:r>
        <w:rPr>
          <w:u w:val="none"/>
        </w:rPr>
        <w:t>202-466- </w:t>
      </w:r>
      <w:r>
        <w:rPr>
          <w:spacing w:val="-2"/>
          <w:u w:val="none"/>
        </w:rPr>
        <w:t>6550.</w:t>
      </w:r>
    </w:p>
    <w:p>
      <w:pPr>
        <w:pStyle w:val="BodyText"/>
        <w:spacing w:before="161"/>
      </w:pPr>
      <w:r>
        <w:rPr>
          <w:spacing w:val="-2"/>
        </w:rPr>
        <w:t>Sincerely,</w:t>
      </w:r>
    </w:p>
    <w:p>
      <w:pPr>
        <w:pStyle w:val="Heading1"/>
        <w:spacing w:before="180"/>
        <w:ind w:right="0"/>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spacing w:after="0"/>
        <w:sectPr>
          <w:footerReference w:type="default" r:id="rId8"/>
          <w:pgSz w:w="12240" w:h="15840"/>
          <w:pgMar w:header="0" w:footer="772" w:top="1360" w:bottom="960" w:left="1340" w:right="1340"/>
          <w:pgNumType w:start="2"/>
        </w:sectPr>
      </w:pPr>
    </w:p>
    <w:p>
      <w:pPr>
        <w:pStyle w:val="BodyText"/>
        <w:spacing w:before="79"/>
      </w:pPr>
      <w:r>
        <w:rPr/>
        <w:t>Access</w:t>
      </w:r>
      <w:r>
        <w:rPr>
          <w:spacing w:val="-4"/>
        </w:rPr>
        <w:t> </w:t>
      </w:r>
      <w:r>
        <w:rPr/>
        <w:t>Ready, </w:t>
      </w:r>
      <w:r>
        <w:rPr>
          <w:spacing w:val="-4"/>
        </w:rPr>
        <w:t>Inc.</w:t>
      </w:r>
    </w:p>
    <w:p>
      <w:pPr>
        <w:spacing w:before="0"/>
        <w:ind w:left="100" w:right="0" w:firstLine="0"/>
        <w:jc w:val="left"/>
        <w:rPr>
          <w:b/>
          <w:i/>
          <w:sz w:val="24"/>
        </w:rPr>
      </w:pPr>
      <w:r>
        <w:rPr>
          <w:b/>
          <w:i/>
          <w:sz w:val="24"/>
        </w:rPr>
        <w:t>ALS </w:t>
      </w:r>
      <w:r>
        <w:rPr>
          <w:b/>
          <w:i/>
          <w:spacing w:val="-2"/>
          <w:sz w:val="24"/>
        </w:rPr>
        <w:t>Association*</w:t>
      </w:r>
    </w:p>
    <w:p>
      <w:pPr>
        <w:pStyle w:val="BodyText"/>
        <w:ind w:right="4913"/>
      </w:pPr>
      <w:r>
        <w:rPr/>
        <w:t>American Cochlear Implant Alliance</w:t>
      </w:r>
      <w:r>
        <w:rPr>
          <w:spacing w:val="40"/>
        </w:rPr>
        <w:t> </w:t>
      </w:r>
      <w:r>
        <w:rPr/>
        <w:t>American</w:t>
      </w:r>
      <w:r>
        <w:rPr>
          <w:spacing w:val="-10"/>
        </w:rPr>
        <w:t> </w:t>
      </w:r>
      <w:r>
        <w:rPr/>
        <w:t>Congress</w:t>
      </w:r>
      <w:r>
        <w:rPr>
          <w:spacing w:val="-10"/>
        </w:rPr>
        <w:t> </w:t>
      </w:r>
      <w:r>
        <w:rPr/>
        <w:t>of</w:t>
      </w:r>
      <w:r>
        <w:rPr>
          <w:spacing w:val="-10"/>
        </w:rPr>
        <w:t> </w:t>
      </w:r>
      <w:r>
        <w:rPr/>
        <w:t>Rehabilitation</w:t>
      </w:r>
      <w:r>
        <w:rPr>
          <w:spacing w:val="-10"/>
        </w:rPr>
        <w:t> </w:t>
      </w:r>
      <w:r>
        <w:rPr/>
        <w:t>Medicine American Music Therapy Association American Occupational Therapy Association American Therapeutic Recreation Association Center on Aging and DIS-Ability Policy Clinician Task Force</w:t>
      </w:r>
    </w:p>
    <w:p>
      <w:pPr>
        <w:pStyle w:val="BodyText"/>
      </w:pPr>
      <w:r>
        <w:rPr>
          <w:spacing w:val="-5"/>
        </w:rPr>
        <w:t>3DA</w:t>
      </w:r>
    </w:p>
    <w:p>
      <w:pPr>
        <w:pStyle w:val="BodyText"/>
        <w:spacing w:before="1"/>
      </w:pPr>
      <w:r>
        <w:rPr/>
        <w:t>International</w:t>
      </w:r>
      <w:r>
        <w:rPr>
          <w:spacing w:val="-3"/>
        </w:rPr>
        <w:t> </w:t>
      </w:r>
      <w:r>
        <w:rPr/>
        <w:t>Eye</w:t>
      </w:r>
      <w:r>
        <w:rPr>
          <w:spacing w:val="-2"/>
        </w:rPr>
        <w:t> Foundation</w:t>
      </w:r>
    </w:p>
    <w:p>
      <w:pPr>
        <w:pStyle w:val="BodyText"/>
      </w:pPr>
      <w:r>
        <w:rPr/>
        <w:t>Long</w:t>
      </w:r>
      <w:r>
        <w:rPr>
          <w:spacing w:val="-4"/>
        </w:rPr>
        <w:t> </w:t>
      </w:r>
      <w:r>
        <w:rPr/>
        <w:t>Island</w:t>
      </w:r>
      <w:r>
        <w:rPr>
          <w:spacing w:val="-2"/>
        </w:rPr>
        <w:t> </w:t>
      </w:r>
      <w:r>
        <w:rPr/>
        <w:t>Center</w:t>
      </w:r>
      <w:r>
        <w:rPr>
          <w:spacing w:val="-3"/>
        </w:rPr>
        <w:t> </w:t>
      </w:r>
      <w:r>
        <w:rPr/>
        <w:t>for</w:t>
      </w:r>
      <w:r>
        <w:rPr>
          <w:spacing w:val="-1"/>
        </w:rPr>
        <w:t> </w:t>
      </w:r>
      <w:r>
        <w:rPr/>
        <w:t>Independent</w:t>
      </w:r>
      <w:r>
        <w:rPr>
          <w:spacing w:val="-1"/>
        </w:rPr>
        <w:t> </w:t>
      </w:r>
      <w:r>
        <w:rPr>
          <w:spacing w:val="-2"/>
        </w:rPr>
        <w:t>Living</w:t>
      </w:r>
    </w:p>
    <w:p>
      <w:pPr>
        <w:pStyle w:val="BodyText"/>
        <w:ind w:right="1862"/>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Association of Rehabilitation Providers and Agencies</w:t>
      </w:r>
    </w:p>
    <w:p>
      <w:pPr>
        <w:pStyle w:val="BodyText"/>
        <w:ind w:right="7715"/>
      </w:pPr>
      <w:r>
        <w:rPr/>
        <w:t>Prevent</w:t>
      </w:r>
      <w:r>
        <w:rPr>
          <w:spacing w:val="-15"/>
        </w:rPr>
        <w:t> </w:t>
      </w:r>
      <w:r>
        <w:rPr/>
        <w:t>Blindness </w:t>
      </w:r>
      <w:r>
        <w:rPr>
          <w:spacing w:val="-2"/>
        </w:rPr>
        <w:t>RESNA</w:t>
      </w:r>
    </w:p>
    <w:p>
      <w:pPr>
        <w:pStyle w:val="BodyText"/>
      </w:pPr>
      <w:r>
        <w:rPr/>
        <w:t>Rifton </w:t>
      </w:r>
      <w:r>
        <w:rPr>
          <w:spacing w:val="-2"/>
        </w:rPr>
        <w:t>Equipment</w:t>
      </w:r>
    </w:p>
    <w:p>
      <w:pPr>
        <w:spacing w:before="0"/>
        <w:ind w:left="100" w:right="0" w:firstLine="0"/>
        <w:jc w:val="left"/>
        <w:rPr>
          <w:b/>
          <w:i/>
          <w:sz w:val="24"/>
        </w:rPr>
      </w:pPr>
      <w:r>
        <w:rPr>
          <w:b/>
          <w:i/>
          <w:sz w:val="24"/>
        </w:rPr>
        <w:t>United Spinal</w:t>
      </w:r>
      <w:r>
        <w:rPr>
          <w:b/>
          <w:i/>
          <w:spacing w:val="-2"/>
          <w:sz w:val="24"/>
        </w:rPr>
        <w:t> Association*</w:t>
      </w:r>
    </w:p>
    <w:p>
      <w:pPr>
        <w:pStyle w:val="BodyText"/>
        <w:ind w:left="0"/>
        <w:rPr>
          <w:b/>
          <w:i/>
        </w:rPr>
      </w:pPr>
    </w:p>
    <w:p>
      <w:pPr>
        <w:pStyle w:val="BodyText"/>
        <w:ind w:left="0"/>
        <w:rPr>
          <w:b/>
          <w:i/>
        </w:rPr>
      </w:pPr>
    </w:p>
    <w:p>
      <w:pPr>
        <w:spacing w:before="0"/>
        <w:ind w:left="100" w:right="0" w:firstLine="0"/>
        <w:jc w:val="left"/>
        <w:rPr>
          <w:b/>
          <w:i/>
          <w:sz w:val="24"/>
        </w:rPr>
      </w:pPr>
      <w:r>
        <w:rPr>
          <w:b/>
          <w:i/>
          <w:sz w:val="24"/>
        </w:rPr>
        <w:t>*Indicates</w:t>
      </w:r>
      <w:r>
        <w:rPr>
          <w:b/>
          <w:i/>
          <w:spacing w:val="-2"/>
          <w:sz w:val="24"/>
        </w:rPr>
        <w:t> </w:t>
      </w:r>
      <w:r>
        <w:rPr>
          <w:b/>
          <w:i/>
          <w:sz w:val="24"/>
        </w:rPr>
        <w:t>ITEM</w:t>
      </w:r>
      <w:r>
        <w:rPr>
          <w:b/>
          <w:i/>
          <w:spacing w:val="-2"/>
          <w:sz w:val="24"/>
        </w:rPr>
        <w:t> </w:t>
      </w:r>
      <w:r>
        <w:rPr>
          <w:b/>
          <w:i/>
          <w:sz w:val="24"/>
        </w:rPr>
        <w:t>Coalition</w:t>
      </w:r>
      <w:r>
        <w:rPr>
          <w:b/>
          <w:i/>
          <w:spacing w:val="-2"/>
          <w:sz w:val="24"/>
        </w:rPr>
        <w:t> </w:t>
      </w:r>
      <w:r>
        <w:rPr>
          <w:b/>
          <w:i/>
          <w:sz w:val="24"/>
        </w:rPr>
        <w:t>Steering</w:t>
      </w:r>
      <w:r>
        <w:rPr>
          <w:b/>
          <w:i/>
          <w:spacing w:val="-2"/>
          <w:sz w:val="24"/>
        </w:rPr>
        <w:t> </w:t>
      </w:r>
      <w:r>
        <w:rPr>
          <w:b/>
          <w:i/>
          <w:sz w:val="24"/>
        </w:rPr>
        <w:t>Committee</w:t>
      </w:r>
      <w:r>
        <w:rPr>
          <w:b/>
          <w:i/>
          <w:spacing w:val="1"/>
          <w:sz w:val="24"/>
        </w:rPr>
        <w:t> </w:t>
      </w:r>
      <w:r>
        <w:rPr>
          <w:b/>
          <w:i/>
          <w:spacing w:val="-2"/>
          <w:sz w:val="24"/>
        </w:rPr>
        <w:t>Member</w:t>
      </w:r>
    </w:p>
    <w:sectPr>
      <w:pgSz w:w="12240" w:h="15840"/>
      <w:pgMar w:header="0" w:footer="772" w:top="1360" w:bottom="96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6128">
              <wp:simplePos x="0" y="0"/>
              <wp:positionH relativeFrom="page">
                <wp:posOffset>3810634</wp:posOffset>
              </wp:positionH>
              <wp:positionV relativeFrom="page">
                <wp:posOffset>9428310</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42.386658pt;width:13pt;height:15.3pt;mso-position-horizontal-relative:page;mso-position-vertical-relative:page;z-index:-15780352"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right="274"/>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DCACnomination@cms.hhs.gov" TargetMode="External"/><Relationship Id="rId7" Type="http://schemas.openxmlformats.org/officeDocument/2006/relationships/hyperlink" Target="http://www.itemcoalition.org/" TargetMode="External"/><Relationship Id="rId8" Type="http://schemas.openxmlformats.org/officeDocument/2006/relationships/footer" Target="footer1.xml"/><Relationship Id="rId9" Type="http://schemas.openxmlformats.org/officeDocument/2006/relationships/hyperlink" Target="mailto:Peter.Thomas@PowersLaw.com" TargetMode="External"/><Relationship Id="rId10"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Letter of Support for Mary Ann Clark's MEDCAC Nomination (Final) (D1162161).DOCX</dc:title>
  <dcterms:created xsi:type="dcterms:W3CDTF">2025-03-29T23:10:31Z</dcterms:created>
  <dcterms:modified xsi:type="dcterms:W3CDTF">2025-03-29T23:10:31Z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for Microsoft 365</vt:lpwstr>
  </property>
  <property fmtid="{D5CDD505-2E9C-101B-9397-08002B2CF9AE}" pid="4" name="LastSaved">
    <vt:filetime>2025-03-29T00:00:00Z</vt:filetime>
  </property>
  <property fmtid="{D5CDD505-2E9C-101B-9397-08002B2CF9AE}" pid="5" name="Producer">
    <vt:lpwstr>Microsoft® Word for Microsoft 365</vt:lpwstr>
  </property>
</Properties>
</file>