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December</w:t>
      </w:r>
      <w:r>
        <w:rPr>
          <w:spacing w:val="-2"/>
        </w:rPr>
        <w:t> </w:t>
      </w:r>
      <w:r>
        <w:rPr/>
        <w:t>2,</w:t>
      </w:r>
      <w:r>
        <w:rPr>
          <w:spacing w:val="-2"/>
        </w:rPr>
        <w:t> </w:t>
      </w:r>
      <w:r>
        <w:rPr>
          <w:spacing w:val="-4"/>
        </w:rPr>
        <w:t>2024</w:t>
      </w:r>
    </w:p>
    <w:p>
      <w:pPr>
        <w:pStyle w:val="BodyText"/>
        <w:ind w:left="0"/>
      </w:pPr>
    </w:p>
    <w:p>
      <w:pPr>
        <w:pStyle w:val="Heading1"/>
        <w:rPr>
          <w:u w:val="none"/>
        </w:rPr>
      </w:pPr>
      <w:r>
        <w:rPr>
          <w:u w:val="single"/>
        </w:rPr>
        <w:t>SUBMITTED</w:t>
      </w:r>
      <w:r>
        <w:rPr>
          <w:spacing w:val="-1"/>
          <w:u w:val="single"/>
        </w:rPr>
        <w:t> </w:t>
      </w:r>
      <w:r>
        <w:rPr>
          <w:spacing w:val="-2"/>
          <w:u w:val="single"/>
        </w:rPr>
        <w:t>ELECTRONICALLY</w:t>
      </w:r>
    </w:p>
    <w:p>
      <w:pPr>
        <w:pStyle w:val="BodyText"/>
        <w:ind w:left="0"/>
        <w:rPr>
          <w:b/>
        </w:rPr>
      </w:pPr>
    </w:p>
    <w:p>
      <w:pPr>
        <w:pStyle w:val="BodyText"/>
        <w:tabs>
          <w:tab w:pos="5141" w:val="left" w:leader="none"/>
        </w:tabs>
      </w:pPr>
      <w:r>
        <w:rPr/>
        <w:t>Majority</w:t>
      </w:r>
      <w:r>
        <w:rPr>
          <w:spacing w:val="-2"/>
        </w:rPr>
        <w:t> </w:t>
      </w:r>
      <w:r>
        <w:rPr/>
        <w:t>Leader</w:t>
      </w:r>
      <w:r>
        <w:rPr>
          <w:spacing w:val="-1"/>
        </w:rPr>
        <w:t> </w:t>
      </w:r>
      <w:r>
        <w:rPr/>
        <w:t>Chuck</w:t>
      </w:r>
      <w:r>
        <w:rPr>
          <w:spacing w:val="-1"/>
        </w:rPr>
        <w:t> </w:t>
      </w:r>
      <w:r>
        <w:rPr>
          <w:spacing w:val="-2"/>
        </w:rPr>
        <w:t>Schumer</w:t>
      </w:r>
      <w:r>
        <w:rPr/>
        <w:tab/>
        <w:t>Minority</w:t>
      </w:r>
      <w:r>
        <w:rPr>
          <w:spacing w:val="-3"/>
        </w:rPr>
        <w:t> </w:t>
      </w:r>
      <w:r>
        <w:rPr/>
        <w:t>Leader</w:t>
      </w:r>
      <w:r>
        <w:rPr>
          <w:spacing w:val="-1"/>
        </w:rPr>
        <w:t> </w:t>
      </w:r>
      <w:r>
        <w:rPr/>
        <w:t>Mitch </w:t>
      </w:r>
      <w:r>
        <w:rPr>
          <w:spacing w:val="-2"/>
        </w:rPr>
        <w:t>McConnell</w:t>
      </w:r>
    </w:p>
    <w:p>
      <w:pPr>
        <w:pStyle w:val="BodyText"/>
        <w:tabs>
          <w:tab w:pos="5141" w:val="left" w:leader="none"/>
        </w:tabs>
      </w:pPr>
      <w:r>
        <w:rPr/>
        <w:t>United</w:t>
      </w:r>
      <w:r>
        <w:rPr>
          <w:spacing w:val="-1"/>
        </w:rPr>
        <w:t> </w:t>
      </w:r>
      <w:r>
        <w:rPr/>
        <w:t>States </w:t>
      </w:r>
      <w:r>
        <w:rPr>
          <w:spacing w:val="-2"/>
        </w:rPr>
        <w:t>Senate</w:t>
      </w:r>
      <w:r>
        <w:rPr/>
        <w:tab/>
        <w:t>United</w:t>
      </w:r>
      <w:r>
        <w:rPr>
          <w:spacing w:val="-3"/>
        </w:rPr>
        <w:t> </w:t>
      </w:r>
      <w:r>
        <w:rPr/>
        <w:t>States </w:t>
      </w:r>
      <w:r>
        <w:rPr>
          <w:spacing w:val="-2"/>
        </w:rPr>
        <w:t>Senate</w:t>
      </w:r>
    </w:p>
    <w:p>
      <w:pPr>
        <w:pStyle w:val="BodyText"/>
        <w:tabs>
          <w:tab w:pos="5141" w:val="left" w:leader="none"/>
        </w:tabs>
      </w:pPr>
      <w:r>
        <w:rPr/>
        <w:t>322</w:t>
      </w:r>
      <w:r>
        <w:rPr>
          <w:spacing w:val="-4"/>
        </w:rPr>
        <w:t> </w:t>
      </w:r>
      <w:r>
        <w:rPr/>
        <w:t>Hart</w:t>
      </w:r>
      <w:r>
        <w:rPr>
          <w:spacing w:val="-1"/>
        </w:rPr>
        <w:t> </w:t>
      </w:r>
      <w:r>
        <w:rPr/>
        <w:t>Senate</w:t>
      </w:r>
      <w:r>
        <w:rPr>
          <w:spacing w:val="-1"/>
        </w:rPr>
        <w:t> </w:t>
      </w:r>
      <w:r>
        <w:rPr/>
        <w:t>Office</w:t>
      </w:r>
      <w:r>
        <w:rPr>
          <w:spacing w:val="-2"/>
        </w:rPr>
        <w:t> Building</w:t>
      </w:r>
      <w:r>
        <w:rPr/>
        <w:tab/>
        <w:t>317</w:t>
      </w:r>
      <w:r>
        <w:rPr>
          <w:spacing w:val="-4"/>
        </w:rPr>
        <w:t> </w:t>
      </w:r>
      <w:r>
        <w:rPr/>
        <w:t>Hart</w:t>
      </w:r>
      <w:r>
        <w:rPr>
          <w:spacing w:val="-1"/>
        </w:rPr>
        <w:t> </w:t>
      </w:r>
      <w:r>
        <w:rPr/>
        <w:t>Senate</w:t>
      </w:r>
      <w:r>
        <w:rPr>
          <w:spacing w:val="-1"/>
        </w:rPr>
        <w:t> </w:t>
      </w:r>
      <w:r>
        <w:rPr/>
        <w:t>Office</w:t>
      </w:r>
      <w:r>
        <w:rPr>
          <w:spacing w:val="-2"/>
        </w:rPr>
        <w:t> Building</w:t>
      </w:r>
    </w:p>
    <w:p>
      <w:pPr>
        <w:pStyle w:val="BodyText"/>
        <w:tabs>
          <w:tab w:pos="5141" w:val="left" w:leader="none"/>
        </w:tabs>
      </w:pPr>
      <w:r>
        <w:rPr/>
        <w:t>Washington,</w:t>
      </w:r>
      <w:r>
        <w:rPr>
          <w:spacing w:val="-1"/>
        </w:rPr>
        <w:t> </w:t>
      </w:r>
      <w:r>
        <w:rPr/>
        <w:t>DC</w:t>
      </w:r>
      <w:r>
        <w:rPr>
          <w:spacing w:val="-1"/>
        </w:rPr>
        <w:t> </w:t>
      </w:r>
      <w:r>
        <w:rPr>
          <w:spacing w:val="-2"/>
        </w:rPr>
        <w:t>20510</w:t>
      </w:r>
      <w:r>
        <w:rPr/>
        <w:tab/>
        <w:t>Washington,</w:t>
      </w:r>
      <w:r>
        <w:rPr>
          <w:spacing w:val="-3"/>
        </w:rPr>
        <w:t> </w:t>
      </w:r>
      <w:r>
        <w:rPr/>
        <w:t>DC</w:t>
      </w:r>
      <w:r>
        <w:rPr>
          <w:spacing w:val="-1"/>
        </w:rPr>
        <w:t> </w:t>
      </w:r>
      <w:r>
        <w:rPr>
          <w:spacing w:val="-2"/>
        </w:rPr>
        <w:t>20510</w:t>
      </w:r>
    </w:p>
    <w:p>
      <w:pPr>
        <w:pStyle w:val="BodyText"/>
        <w:spacing w:before="1"/>
        <w:ind w:left="0"/>
      </w:pPr>
    </w:p>
    <w:p>
      <w:pPr>
        <w:pStyle w:val="BodyText"/>
        <w:tabs>
          <w:tab w:pos="5141" w:val="left" w:leader="none"/>
        </w:tabs>
      </w:pPr>
      <w:r>
        <w:rPr/>
        <w:t>Speaker</w:t>
      </w:r>
      <w:r>
        <w:rPr>
          <w:spacing w:val="-4"/>
        </w:rPr>
        <w:t> </w:t>
      </w:r>
      <w:r>
        <w:rPr/>
        <w:t>Mike</w:t>
      </w:r>
      <w:r>
        <w:rPr>
          <w:spacing w:val="-2"/>
        </w:rPr>
        <w:t> Johnson</w:t>
      </w:r>
      <w:r>
        <w:rPr/>
        <w:tab/>
        <w:t>Minority</w:t>
      </w:r>
      <w:r>
        <w:rPr>
          <w:spacing w:val="-4"/>
        </w:rPr>
        <w:t> </w:t>
      </w:r>
      <w:r>
        <w:rPr/>
        <w:t>Leader</w:t>
      </w:r>
      <w:r>
        <w:rPr>
          <w:spacing w:val="-1"/>
        </w:rPr>
        <w:t> </w:t>
      </w:r>
      <w:r>
        <w:rPr/>
        <w:t>Hakeem</w:t>
      </w:r>
      <w:r>
        <w:rPr>
          <w:spacing w:val="-1"/>
        </w:rPr>
        <w:t> </w:t>
      </w:r>
      <w:r>
        <w:rPr>
          <w:spacing w:val="-2"/>
        </w:rPr>
        <w:t>Jefferies</w:t>
      </w:r>
    </w:p>
    <w:p>
      <w:pPr>
        <w:pStyle w:val="BodyText"/>
        <w:tabs>
          <w:tab w:pos="5141" w:val="left" w:leader="none"/>
        </w:tabs>
      </w:pPr>
      <w:r>
        <w:rPr/>
        <w:t>U.S. House</w:t>
      </w:r>
      <w:r>
        <w:rPr>
          <w:spacing w:val="-1"/>
        </w:rPr>
        <w:t> </w:t>
      </w:r>
      <w:r>
        <w:rPr/>
        <w:t>of </w:t>
      </w:r>
      <w:r>
        <w:rPr>
          <w:spacing w:val="-2"/>
        </w:rPr>
        <w:t>Representatives</w:t>
      </w:r>
      <w:r>
        <w:rPr/>
        <w:tab/>
        <w:t>U.S.</w:t>
      </w:r>
      <w:r>
        <w:rPr>
          <w:spacing w:val="-2"/>
        </w:rPr>
        <w:t> </w:t>
      </w:r>
      <w:r>
        <w:rPr/>
        <w:t>House</w:t>
      </w:r>
      <w:r>
        <w:rPr>
          <w:spacing w:val="-1"/>
        </w:rPr>
        <w:t> </w:t>
      </w:r>
      <w:r>
        <w:rPr/>
        <w:t>of </w:t>
      </w:r>
      <w:r>
        <w:rPr>
          <w:spacing w:val="-2"/>
        </w:rPr>
        <w:t>Representatives</w:t>
      </w:r>
    </w:p>
    <w:p>
      <w:pPr>
        <w:pStyle w:val="BodyText"/>
        <w:tabs>
          <w:tab w:pos="5141" w:val="left" w:leader="none"/>
        </w:tabs>
        <w:ind w:right="824"/>
      </w:pPr>
      <w:r>
        <w:rPr/>
        <w:t>568 Cannon House Office Building</w:t>
        <w:tab/>
        <w:t>2433</w:t>
      </w:r>
      <w:r>
        <w:rPr>
          <w:spacing w:val="-9"/>
        </w:rPr>
        <w:t> </w:t>
      </w:r>
      <w:r>
        <w:rPr/>
        <w:t>Rayburn</w:t>
      </w:r>
      <w:r>
        <w:rPr>
          <w:spacing w:val="-10"/>
        </w:rPr>
        <w:t> </w:t>
      </w:r>
      <w:r>
        <w:rPr/>
        <w:t>House</w:t>
      </w:r>
      <w:r>
        <w:rPr>
          <w:spacing w:val="-11"/>
        </w:rPr>
        <w:t> </w:t>
      </w:r>
      <w:r>
        <w:rPr/>
        <w:t>Office</w:t>
      </w:r>
      <w:r>
        <w:rPr>
          <w:spacing w:val="-11"/>
        </w:rPr>
        <w:t> </w:t>
      </w:r>
      <w:r>
        <w:rPr/>
        <w:t>Building Washington, DC 20515</w:t>
        <w:tab/>
        <w:t>Washington, DC 20515</w:t>
      </w:r>
    </w:p>
    <w:p>
      <w:pPr>
        <w:pStyle w:val="BodyText"/>
        <w:ind w:left="0"/>
      </w:pPr>
    </w:p>
    <w:p>
      <w:pPr>
        <w:pStyle w:val="BodyText"/>
        <w:tabs>
          <w:tab w:pos="5141" w:val="left" w:leader="none"/>
        </w:tabs>
        <w:jc w:val="both"/>
      </w:pPr>
      <w:r>
        <w:rPr/>
        <w:t>Chairwoman</w:t>
      </w:r>
      <w:r>
        <w:rPr>
          <w:spacing w:val="-3"/>
        </w:rPr>
        <w:t> </w:t>
      </w:r>
      <w:r>
        <w:rPr/>
        <w:t>Cathy</w:t>
      </w:r>
      <w:r>
        <w:rPr>
          <w:spacing w:val="-1"/>
        </w:rPr>
        <w:t> </w:t>
      </w:r>
      <w:r>
        <w:rPr/>
        <w:t>McMorris</w:t>
      </w:r>
      <w:r>
        <w:rPr>
          <w:spacing w:val="-1"/>
        </w:rPr>
        <w:t> </w:t>
      </w:r>
      <w:r>
        <w:rPr>
          <w:spacing w:val="-2"/>
        </w:rPr>
        <w:t>Rodgers</w:t>
      </w:r>
      <w:r>
        <w:rPr/>
        <w:tab/>
        <w:t>Ranking</w:t>
      </w:r>
      <w:r>
        <w:rPr>
          <w:spacing w:val="-4"/>
        </w:rPr>
        <w:t> </w:t>
      </w:r>
      <w:r>
        <w:rPr/>
        <w:t>Member</w:t>
      </w:r>
      <w:r>
        <w:rPr>
          <w:spacing w:val="-2"/>
        </w:rPr>
        <w:t> </w:t>
      </w:r>
      <w:r>
        <w:rPr/>
        <w:t>Frank</w:t>
      </w:r>
      <w:r>
        <w:rPr>
          <w:spacing w:val="1"/>
        </w:rPr>
        <w:t> </w:t>
      </w:r>
      <w:r>
        <w:rPr>
          <w:spacing w:val="-2"/>
        </w:rPr>
        <w:t>Pallone</w:t>
      </w:r>
    </w:p>
    <w:p>
      <w:pPr>
        <w:pStyle w:val="BodyText"/>
        <w:tabs>
          <w:tab w:pos="5141" w:val="left" w:leader="none"/>
        </w:tabs>
        <w:ind w:right="584"/>
        <w:jc w:val="both"/>
      </w:pPr>
      <w:r>
        <w:rPr/>
        <w:t>House Energy &amp; Commerce Committee</w:t>
        <w:tab/>
        <w:t>House</w:t>
      </w:r>
      <w:r>
        <w:rPr>
          <w:spacing w:val="-11"/>
        </w:rPr>
        <w:t> </w:t>
      </w:r>
      <w:r>
        <w:rPr/>
        <w:t>Energy</w:t>
      </w:r>
      <w:r>
        <w:rPr>
          <w:spacing w:val="-9"/>
        </w:rPr>
        <w:t> </w:t>
      </w:r>
      <w:r>
        <w:rPr/>
        <w:t>&amp;</w:t>
      </w:r>
      <w:r>
        <w:rPr>
          <w:spacing w:val="-9"/>
        </w:rPr>
        <w:t> </w:t>
      </w:r>
      <w:r>
        <w:rPr/>
        <w:t>Commerce</w:t>
      </w:r>
      <w:r>
        <w:rPr>
          <w:spacing w:val="-10"/>
        </w:rPr>
        <w:t> </w:t>
      </w:r>
      <w:r>
        <w:rPr/>
        <w:t>Committee 2322A Rayburn House Office Building</w:t>
        <w:tab/>
        <w:t>2322A Rayburn House Office Building Washington, DC 20515</w:t>
        <w:tab/>
        <w:t>Washington, DC 20515</w:t>
      </w:r>
    </w:p>
    <w:p>
      <w:pPr>
        <w:pStyle w:val="BodyText"/>
        <w:spacing w:before="1"/>
        <w:ind w:left="0"/>
      </w:pPr>
    </w:p>
    <w:p>
      <w:pPr>
        <w:pStyle w:val="BodyText"/>
        <w:tabs>
          <w:tab w:pos="5141" w:val="left" w:leader="none"/>
        </w:tabs>
      </w:pPr>
      <w:r>
        <w:rPr/>
        <w:t>Chairman</w:t>
      </w:r>
      <w:r>
        <w:rPr>
          <w:spacing w:val="-3"/>
        </w:rPr>
        <w:t> </w:t>
      </w:r>
      <w:r>
        <w:rPr/>
        <w:t>Ron</w:t>
      </w:r>
      <w:r>
        <w:rPr>
          <w:spacing w:val="-1"/>
        </w:rPr>
        <w:t> </w:t>
      </w:r>
      <w:r>
        <w:rPr>
          <w:spacing w:val="-4"/>
        </w:rPr>
        <w:t>Wyden</w:t>
      </w:r>
      <w:r>
        <w:rPr/>
        <w:tab/>
        <w:t>Ranking</w:t>
      </w:r>
      <w:r>
        <w:rPr>
          <w:spacing w:val="-3"/>
        </w:rPr>
        <w:t> </w:t>
      </w:r>
      <w:r>
        <w:rPr/>
        <w:t>Member</w:t>
      </w:r>
      <w:r>
        <w:rPr>
          <w:spacing w:val="-2"/>
        </w:rPr>
        <w:t> </w:t>
      </w:r>
      <w:r>
        <w:rPr/>
        <w:t>Mike</w:t>
      </w:r>
      <w:r>
        <w:rPr>
          <w:spacing w:val="1"/>
        </w:rPr>
        <w:t> </w:t>
      </w:r>
      <w:r>
        <w:rPr>
          <w:spacing w:val="-2"/>
        </w:rPr>
        <w:t>Crapo</w:t>
      </w:r>
    </w:p>
    <w:p>
      <w:pPr>
        <w:pStyle w:val="BodyText"/>
        <w:tabs>
          <w:tab w:pos="5141" w:val="left" w:leader="none"/>
        </w:tabs>
      </w:pPr>
      <w:r>
        <w:rPr/>
        <w:t>Senate</w:t>
      </w:r>
      <w:r>
        <w:rPr>
          <w:spacing w:val="-3"/>
        </w:rPr>
        <w:t> </w:t>
      </w:r>
      <w:r>
        <w:rPr/>
        <w:t>Finance</w:t>
      </w:r>
      <w:r>
        <w:rPr>
          <w:spacing w:val="-2"/>
        </w:rPr>
        <w:t> Committee</w:t>
      </w:r>
      <w:r>
        <w:rPr/>
        <w:tab/>
        <w:t>Senate</w:t>
      </w:r>
      <w:r>
        <w:rPr>
          <w:spacing w:val="-5"/>
        </w:rPr>
        <w:t> </w:t>
      </w:r>
      <w:r>
        <w:rPr/>
        <w:t>Finance</w:t>
      </w:r>
      <w:r>
        <w:rPr>
          <w:spacing w:val="-2"/>
        </w:rPr>
        <w:t> Committee</w:t>
      </w:r>
    </w:p>
    <w:p>
      <w:pPr>
        <w:pStyle w:val="BodyText"/>
        <w:tabs>
          <w:tab w:pos="5141" w:val="left" w:leader="none"/>
        </w:tabs>
        <w:ind w:right="984"/>
      </w:pPr>
      <w:r>
        <w:rPr/>
        <w:t>219 Dirksen Senate Office Building</w:t>
        <w:tab/>
        <w:t>219</w:t>
      </w:r>
      <w:r>
        <w:rPr>
          <w:spacing w:val="-10"/>
        </w:rPr>
        <w:t> </w:t>
      </w:r>
      <w:r>
        <w:rPr/>
        <w:t>Dirksen</w:t>
      </w:r>
      <w:r>
        <w:rPr>
          <w:spacing w:val="-10"/>
        </w:rPr>
        <w:t> </w:t>
      </w:r>
      <w:r>
        <w:rPr/>
        <w:t>Senate</w:t>
      </w:r>
      <w:r>
        <w:rPr>
          <w:spacing w:val="-10"/>
        </w:rPr>
        <w:t> </w:t>
      </w:r>
      <w:r>
        <w:rPr/>
        <w:t>Office</w:t>
      </w:r>
      <w:r>
        <w:rPr>
          <w:spacing w:val="-11"/>
        </w:rPr>
        <w:t> </w:t>
      </w:r>
      <w:r>
        <w:rPr/>
        <w:t>Building Washington, DC 20510</w:t>
        <w:tab/>
        <w:t>Washington, DC 20510</w:t>
      </w:r>
    </w:p>
    <w:p>
      <w:pPr>
        <w:pStyle w:val="BodyText"/>
        <w:ind w:left="0"/>
      </w:pPr>
    </w:p>
    <w:p>
      <w:pPr>
        <w:pStyle w:val="BodyText"/>
        <w:ind w:left="0"/>
      </w:pPr>
    </w:p>
    <w:p>
      <w:pPr>
        <w:pStyle w:val="Heading1"/>
        <w:tabs>
          <w:tab w:pos="820" w:val="left" w:leader="none"/>
        </w:tabs>
        <w:ind w:left="820" w:right="708" w:hanging="720"/>
        <w:rPr>
          <w:u w:val="none"/>
        </w:rPr>
      </w:pPr>
      <w:r>
        <w:rPr>
          <w:spacing w:val="-4"/>
          <w:u w:val="none"/>
        </w:rPr>
        <w:t>RE:</w:t>
      </w:r>
      <w:r>
        <w:rPr>
          <w:u w:val="none"/>
        </w:rPr>
        <w:tab/>
      </w:r>
      <w:r>
        <w:rPr>
          <w:u w:val="single"/>
        </w:rPr>
        <w:t>ITEM</w:t>
      </w:r>
      <w:r>
        <w:rPr>
          <w:spacing w:val="-5"/>
          <w:u w:val="single"/>
        </w:rPr>
        <w:t> </w:t>
      </w:r>
      <w:r>
        <w:rPr>
          <w:u w:val="single"/>
        </w:rPr>
        <w:t>Coalition</w:t>
      </w:r>
      <w:r>
        <w:rPr>
          <w:spacing w:val="-3"/>
          <w:u w:val="single"/>
        </w:rPr>
        <w:t> </w:t>
      </w:r>
      <w:r>
        <w:rPr>
          <w:u w:val="single"/>
        </w:rPr>
        <w:t>Support</w:t>
      </w:r>
      <w:r>
        <w:rPr>
          <w:spacing w:val="-5"/>
          <w:u w:val="single"/>
        </w:rPr>
        <w:t> </w:t>
      </w:r>
      <w:r>
        <w:rPr>
          <w:u w:val="single"/>
        </w:rPr>
        <w:t>for</w:t>
      </w:r>
      <w:r>
        <w:rPr>
          <w:spacing w:val="-6"/>
          <w:u w:val="single"/>
        </w:rPr>
        <w:t> </w:t>
      </w:r>
      <w:r>
        <w:rPr>
          <w:u w:val="single"/>
        </w:rPr>
        <w:t>Legislation</w:t>
      </w:r>
      <w:r>
        <w:rPr>
          <w:spacing w:val="-4"/>
          <w:u w:val="single"/>
        </w:rPr>
        <w:t> </w:t>
      </w:r>
      <w:r>
        <w:rPr>
          <w:u w:val="single"/>
        </w:rPr>
        <w:t>to</w:t>
      </w:r>
      <w:r>
        <w:rPr>
          <w:spacing w:val="-4"/>
          <w:u w:val="single"/>
        </w:rPr>
        <w:t> </w:t>
      </w:r>
      <w:r>
        <w:rPr>
          <w:u w:val="single"/>
        </w:rPr>
        <w:t>Address</w:t>
      </w:r>
      <w:r>
        <w:rPr>
          <w:spacing w:val="-3"/>
          <w:u w:val="single"/>
        </w:rPr>
        <w:t> </w:t>
      </w:r>
      <w:r>
        <w:rPr>
          <w:u w:val="single"/>
        </w:rPr>
        <w:t>Significant</w:t>
      </w:r>
      <w:r>
        <w:rPr>
          <w:spacing w:val="-4"/>
          <w:u w:val="single"/>
        </w:rPr>
        <w:t> </w:t>
      </w:r>
      <w:r>
        <w:rPr>
          <w:u w:val="single"/>
        </w:rPr>
        <w:t>and</w:t>
      </w:r>
      <w:r>
        <w:rPr>
          <w:spacing w:val="-4"/>
          <w:u w:val="single"/>
        </w:rPr>
        <w:t> </w:t>
      </w:r>
      <w:r>
        <w:rPr>
          <w:u w:val="single"/>
        </w:rPr>
        <w:t>Dangerous</w:t>
      </w:r>
      <w:r>
        <w:rPr>
          <w:u w:val="none"/>
        </w:rPr>
        <w:t> </w:t>
      </w:r>
      <w:r>
        <w:rPr>
          <w:u w:val="single"/>
        </w:rPr>
        <w:t>Medicare Cuts to Durable Medical Equipment Reimbursement</w:t>
      </w:r>
    </w:p>
    <w:p>
      <w:pPr>
        <w:pStyle w:val="BodyText"/>
        <w:ind w:left="0"/>
        <w:rPr>
          <w:b/>
        </w:rPr>
      </w:pPr>
    </w:p>
    <w:p>
      <w:pPr>
        <w:pStyle w:val="BodyText"/>
      </w:pPr>
      <w:r>
        <w:rPr/>
        <w:t>Dear</w:t>
      </w:r>
      <w:r>
        <w:rPr>
          <w:spacing w:val="-6"/>
        </w:rPr>
        <w:t> </w:t>
      </w:r>
      <w:r>
        <w:rPr/>
        <w:t>Majority</w:t>
      </w:r>
      <w:r>
        <w:rPr>
          <w:spacing w:val="-5"/>
        </w:rPr>
        <w:t> </w:t>
      </w:r>
      <w:r>
        <w:rPr/>
        <w:t>Leader</w:t>
      </w:r>
      <w:r>
        <w:rPr>
          <w:spacing w:val="-5"/>
        </w:rPr>
        <w:t> </w:t>
      </w:r>
      <w:r>
        <w:rPr/>
        <w:t>Schumer,</w:t>
      </w:r>
      <w:r>
        <w:rPr>
          <w:spacing w:val="-5"/>
        </w:rPr>
        <w:t> </w:t>
      </w:r>
      <w:r>
        <w:rPr/>
        <w:t>Minority</w:t>
      </w:r>
      <w:r>
        <w:rPr>
          <w:spacing w:val="-5"/>
        </w:rPr>
        <w:t> </w:t>
      </w:r>
      <w:r>
        <w:rPr/>
        <w:t>Leader</w:t>
      </w:r>
      <w:r>
        <w:rPr>
          <w:spacing w:val="-4"/>
        </w:rPr>
        <w:t> </w:t>
      </w:r>
      <w:r>
        <w:rPr/>
        <w:t>McConnell,</w:t>
      </w:r>
      <w:r>
        <w:rPr>
          <w:spacing w:val="-5"/>
        </w:rPr>
        <w:t> </w:t>
      </w:r>
      <w:r>
        <w:rPr/>
        <w:t>Speaker</w:t>
      </w:r>
      <w:r>
        <w:rPr>
          <w:spacing w:val="-5"/>
        </w:rPr>
        <w:t> </w:t>
      </w:r>
      <w:r>
        <w:rPr/>
        <w:t>Johnson,</w:t>
      </w:r>
      <w:r>
        <w:rPr>
          <w:spacing w:val="-5"/>
        </w:rPr>
        <w:t> </w:t>
      </w:r>
      <w:r>
        <w:rPr/>
        <w:t>Minority</w:t>
      </w:r>
      <w:r>
        <w:rPr>
          <w:spacing w:val="-5"/>
        </w:rPr>
        <w:t> </w:t>
      </w:r>
      <w:r>
        <w:rPr/>
        <w:t>Leader Jefferies, Chairs McMorris Rodgers and Wyden, and Ranking Members Pallone and Crapo:</w:t>
      </w:r>
    </w:p>
    <w:p>
      <w:pPr>
        <w:pStyle w:val="BodyText"/>
        <w:ind w:left="0"/>
      </w:pPr>
    </w:p>
    <w:p>
      <w:pPr>
        <w:pStyle w:val="BodyText"/>
        <w:spacing w:before="1"/>
        <w:ind w:right="708"/>
      </w:pPr>
      <w:r>
        <w:rPr/>
        <w:t>The undersigned members of the Independence Through Enhancement of Medicare and Medicaid</w:t>
      </w:r>
      <w:r>
        <w:rPr>
          <w:spacing w:val="-4"/>
        </w:rPr>
        <w:t> </w:t>
      </w:r>
      <w:r>
        <w:rPr/>
        <w:t>(“ITEM”)</w:t>
      </w:r>
      <w:r>
        <w:rPr>
          <w:spacing w:val="-4"/>
        </w:rPr>
        <w:t> </w:t>
      </w:r>
      <w:r>
        <w:rPr/>
        <w:t>Coalition</w:t>
      </w:r>
      <w:r>
        <w:rPr>
          <w:spacing w:val="-4"/>
        </w:rPr>
        <w:t> </w:t>
      </w:r>
      <w:r>
        <w:rPr/>
        <w:t>write</w:t>
      </w:r>
      <w:r>
        <w:rPr>
          <w:spacing w:val="-5"/>
        </w:rPr>
        <w:t> </w:t>
      </w:r>
      <w:r>
        <w:rPr/>
        <w:t>to</w:t>
      </w:r>
      <w:r>
        <w:rPr>
          <w:spacing w:val="-2"/>
        </w:rPr>
        <w:t> </w:t>
      </w:r>
      <w:r>
        <w:rPr/>
        <w:t>express</w:t>
      </w:r>
      <w:r>
        <w:rPr>
          <w:spacing w:val="-4"/>
        </w:rPr>
        <w:t> </w:t>
      </w:r>
      <w:r>
        <w:rPr/>
        <w:t>our</w:t>
      </w:r>
      <w:r>
        <w:rPr>
          <w:spacing w:val="-3"/>
        </w:rPr>
        <w:t> </w:t>
      </w:r>
      <w:r>
        <w:rPr/>
        <w:t>concerns</w:t>
      </w:r>
      <w:r>
        <w:rPr>
          <w:spacing w:val="-2"/>
        </w:rPr>
        <w:t> </w:t>
      </w:r>
      <w:r>
        <w:rPr/>
        <w:t>regarding</w:t>
      </w:r>
      <w:r>
        <w:rPr>
          <w:spacing w:val="-4"/>
        </w:rPr>
        <w:t> </w:t>
      </w:r>
      <w:r>
        <w:rPr/>
        <w:t>the</w:t>
      </w:r>
      <w:r>
        <w:rPr>
          <w:spacing w:val="-4"/>
        </w:rPr>
        <w:t> </w:t>
      </w:r>
      <w:r>
        <w:rPr/>
        <w:t>impact</w:t>
      </w:r>
      <w:r>
        <w:rPr>
          <w:spacing w:val="-4"/>
        </w:rPr>
        <w:t> </w:t>
      </w:r>
      <w:r>
        <w:rPr/>
        <w:t>to</w:t>
      </w:r>
      <w:r>
        <w:rPr>
          <w:spacing w:val="-4"/>
        </w:rPr>
        <w:t> </w:t>
      </w:r>
      <w:r>
        <w:rPr/>
        <w:t>patient access that significant cuts under the Medicare program to Durable Medical Equipment</w:t>
      </w:r>
    </w:p>
    <w:p>
      <w:pPr>
        <w:pStyle w:val="BodyText"/>
        <w:ind w:right="188"/>
      </w:pPr>
      <w:r>
        <w:rPr/>
        <w:t>Prosthetics,</w:t>
      </w:r>
      <w:r>
        <w:rPr>
          <w:spacing w:val="-5"/>
        </w:rPr>
        <w:t> </w:t>
      </w:r>
      <w:r>
        <w:rPr/>
        <w:t>Orthotics</w:t>
      </w:r>
      <w:r>
        <w:rPr>
          <w:spacing w:val="-6"/>
        </w:rPr>
        <w:t> </w:t>
      </w:r>
      <w:r>
        <w:rPr/>
        <w:t>and</w:t>
      </w:r>
      <w:r>
        <w:rPr>
          <w:spacing w:val="-5"/>
        </w:rPr>
        <w:t> </w:t>
      </w:r>
      <w:r>
        <w:rPr/>
        <w:t>Supplies</w:t>
      </w:r>
      <w:r>
        <w:rPr>
          <w:spacing w:val="-6"/>
        </w:rPr>
        <w:t> </w:t>
      </w:r>
      <w:r>
        <w:rPr/>
        <w:t>(“DMEPOS”)</w:t>
      </w:r>
      <w:r>
        <w:rPr>
          <w:spacing w:val="-4"/>
        </w:rPr>
        <w:t> </w:t>
      </w:r>
      <w:r>
        <w:rPr/>
        <w:t>reimbursement</w:t>
      </w:r>
      <w:r>
        <w:rPr>
          <w:spacing w:val="-5"/>
        </w:rPr>
        <w:t> </w:t>
      </w:r>
      <w:r>
        <w:rPr/>
        <w:t>levels are</w:t>
      </w:r>
      <w:r>
        <w:rPr>
          <w:spacing w:val="-6"/>
        </w:rPr>
        <w:t> </w:t>
      </w:r>
      <w:r>
        <w:rPr/>
        <w:t>causing</w:t>
      </w:r>
      <w:r>
        <w:rPr>
          <w:spacing w:val="-4"/>
        </w:rPr>
        <w:t> </w:t>
      </w:r>
      <w:r>
        <w:rPr/>
        <w:t>for</w:t>
      </w:r>
      <w:r>
        <w:rPr>
          <w:spacing w:val="-5"/>
        </w:rPr>
        <w:t> </w:t>
      </w:r>
      <w:r>
        <w:rPr/>
        <w:t>patients nationwide.</w:t>
      </w:r>
      <w:r>
        <w:rPr>
          <w:spacing w:val="40"/>
        </w:rPr>
        <w:t> </w:t>
      </w:r>
      <w:r>
        <w:rPr/>
        <w:t>These</w:t>
      </w:r>
      <w:r>
        <w:rPr>
          <w:spacing w:val="-2"/>
        </w:rPr>
        <w:t> </w:t>
      </w:r>
      <w:r>
        <w:rPr/>
        <w:t>cuts</w:t>
      </w:r>
      <w:r>
        <w:rPr>
          <w:spacing w:val="-4"/>
        </w:rPr>
        <w:t> </w:t>
      </w:r>
      <w:r>
        <w:rPr/>
        <w:t>are</w:t>
      </w:r>
      <w:r>
        <w:rPr>
          <w:spacing w:val="-5"/>
        </w:rPr>
        <w:t> </w:t>
      </w:r>
      <w:r>
        <w:rPr/>
        <w:t>derived</w:t>
      </w:r>
      <w:r>
        <w:rPr>
          <w:spacing w:val="-3"/>
        </w:rPr>
        <w:t> </w:t>
      </w:r>
      <w:r>
        <w:rPr/>
        <w:t>from</w:t>
      </w:r>
      <w:r>
        <w:rPr>
          <w:spacing w:val="-3"/>
        </w:rPr>
        <w:t> </w:t>
      </w:r>
      <w:r>
        <w:rPr/>
        <w:t>the</w:t>
      </w:r>
      <w:r>
        <w:rPr>
          <w:spacing w:val="-4"/>
        </w:rPr>
        <w:t> </w:t>
      </w:r>
      <w:r>
        <w:rPr/>
        <w:t>DMEPOS</w:t>
      </w:r>
      <w:r>
        <w:rPr>
          <w:spacing w:val="-4"/>
        </w:rPr>
        <w:t> </w:t>
      </w:r>
      <w:r>
        <w:rPr/>
        <w:t>competitive</w:t>
      </w:r>
      <w:r>
        <w:rPr>
          <w:spacing w:val="-4"/>
        </w:rPr>
        <w:t> </w:t>
      </w:r>
      <w:r>
        <w:rPr/>
        <w:t>Bidding</w:t>
      </w:r>
      <w:r>
        <w:rPr>
          <w:spacing w:val="-3"/>
        </w:rPr>
        <w:t> </w:t>
      </w:r>
      <w:r>
        <w:rPr/>
        <w:t>Program</w:t>
      </w:r>
      <w:r>
        <w:rPr>
          <w:spacing w:val="-3"/>
        </w:rPr>
        <w:t> </w:t>
      </w:r>
      <w:r>
        <w:rPr/>
        <w:t>(“CBP”), which, according to ITEM Coalition member, AAHomecare, fails to reflect the current market costs of providing care.</w:t>
      </w:r>
      <w:r>
        <w:rPr>
          <w:spacing w:val="40"/>
        </w:rPr>
        <w:t> </w:t>
      </w:r>
      <w:r>
        <w:rPr/>
        <w:t>Without action from Congress or the Centers for Medicare and</w:t>
      </w:r>
    </w:p>
    <w:p>
      <w:pPr>
        <w:pStyle w:val="BodyText"/>
      </w:pPr>
      <w:r>
        <w:rPr/>
        <w:t>Medicaid</w:t>
      </w:r>
      <w:r>
        <w:rPr>
          <w:spacing w:val="-3"/>
        </w:rPr>
        <w:t> </w:t>
      </w:r>
      <w:r>
        <w:rPr/>
        <w:t>Services</w:t>
      </w:r>
      <w:r>
        <w:rPr>
          <w:spacing w:val="-4"/>
        </w:rPr>
        <w:t> </w:t>
      </w:r>
      <w:r>
        <w:rPr/>
        <w:t>(“CMS”)</w:t>
      </w:r>
      <w:r>
        <w:rPr>
          <w:spacing w:val="-3"/>
        </w:rPr>
        <w:t> </w:t>
      </w:r>
      <w:r>
        <w:rPr/>
        <w:t>to</w:t>
      </w:r>
      <w:r>
        <w:rPr>
          <w:spacing w:val="-3"/>
        </w:rPr>
        <w:t> </w:t>
      </w:r>
      <w:r>
        <w:rPr/>
        <w:t>provide</w:t>
      </w:r>
      <w:r>
        <w:rPr>
          <w:spacing w:val="-3"/>
        </w:rPr>
        <w:t> </w:t>
      </w:r>
      <w:r>
        <w:rPr/>
        <w:t>relief</w:t>
      </w:r>
      <w:r>
        <w:rPr>
          <w:spacing w:val="-3"/>
        </w:rPr>
        <w:t> </w:t>
      </w:r>
      <w:r>
        <w:rPr/>
        <w:t>from</w:t>
      </w:r>
      <w:r>
        <w:rPr>
          <w:spacing w:val="-2"/>
        </w:rPr>
        <w:t> </w:t>
      </w:r>
      <w:r>
        <w:rPr/>
        <w:t>the</w:t>
      </w:r>
      <w:r>
        <w:rPr>
          <w:spacing w:val="-3"/>
        </w:rPr>
        <w:t> </w:t>
      </w:r>
      <w:r>
        <w:rPr/>
        <w:t>unsustainable</w:t>
      </w:r>
      <w:r>
        <w:rPr>
          <w:spacing w:val="-3"/>
        </w:rPr>
        <w:t> </w:t>
      </w:r>
      <w:r>
        <w:rPr/>
        <w:t>nature</w:t>
      </w:r>
      <w:r>
        <w:rPr>
          <w:spacing w:val="-2"/>
        </w:rPr>
        <w:t> </w:t>
      </w:r>
      <w:r>
        <w:rPr/>
        <w:t>of</w:t>
      </w:r>
      <w:r>
        <w:rPr>
          <w:spacing w:val="-3"/>
        </w:rPr>
        <w:t> </w:t>
      </w:r>
      <w:r>
        <w:rPr/>
        <w:t>these</w:t>
      </w:r>
      <w:r>
        <w:rPr>
          <w:spacing w:val="-4"/>
        </w:rPr>
        <w:t> </w:t>
      </w:r>
      <w:r>
        <w:rPr/>
        <w:t>reductions</w:t>
      </w:r>
      <w:r>
        <w:rPr>
          <w:spacing w:val="-4"/>
        </w:rPr>
        <w:t> </w:t>
      </w:r>
      <w:r>
        <w:rPr/>
        <w:t>in reimbursement, many DMEPOS—also known as “home medical equipment”—suppliers and providers will not be able to remain viable and millions of Americans with disabilities will be at high risk of diminished access to care.</w:t>
      </w:r>
    </w:p>
    <w:p>
      <w:pPr>
        <w:pStyle w:val="BodyText"/>
        <w:spacing w:before="81"/>
        <w:ind w:left="0"/>
        <w:rPr>
          <w:sz w:val="22"/>
        </w:rPr>
      </w:pPr>
    </w:p>
    <w:p>
      <w:pPr>
        <w:spacing w:line="285" w:lineRule="exact" w:before="0"/>
        <w:ind w:left="1" w:right="17"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5"/>
          <w:sz w:val="22"/>
        </w:rPr>
        <w:t> </w:t>
      </w:r>
      <w:r>
        <w:rPr>
          <w:rFonts w:ascii="Palatino Linotype" w:hAnsi="Palatino Linotype"/>
          <w:color w:val="00009E"/>
          <w:sz w:val="22"/>
        </w:rPr>
        <w:t>Connecticut</w:t>
      </w:r>
      <w:r>
        <w:rPr>
          <w:rFonts w:ascii="Palatino Linotype" w:hAnsi="Palatino Linotype"/>
          <w:color w:val="00009E"/>
          <w:spacing w:val="-5"/>
          <w:sz w:val="22"/>
        </w:rPr>
        <w:t> </w:t>
      </w:r>
      <w:r>
        <w:rPr>
          <w:rFonts w:ascii="Palatino Linotype" w:hAnsi="Palatino Linotype"/>
          <w:color w:val="00009E"/>
          <w:sz w:val="22"/>
        </w:rPr>
        <w:t>Ave.,</w:t>
      </w:r>
      <w:r>
        <w:rPr>
          <w:rFonts w:ascii="Palatino Linotype" w:hAnsi="Palatino Linotype"/>
          <w:color w:val="00009E"/>
          <w:spacing w:val="-6"/>
          <w:sz w:val="22"/>
        </w:rPr>
        <w:t> </w:t>
      </w:r>
      <w:r>
        <w:rPr>
          <w:rFonts w:ascii="Palatino Linotype" w:hAnsi="Palatino Linotype"/>
          <w:color w:val="00009E"/>
          <w:sz w:val="22"/>
        </w:rPr>
        <w:t>NW,</w:t>
      </w:r>
      <w:r>
        <w:rPr>
          <w:rFonts w:ascii="Palatino Linotype" w:hAnsi="Palatino Linotype"/>
          <w:color w:val="00009E"/>
          <w:spacing w:val="-2"/>
          <w:sz w:val="22"/>
        </w:rPr>
        <w:t> </w:t>
      </w:r>
      <w:r>
        <w:rPr>
          <w:rFonts w:ascii="Palatino Linotype" w:hAnsi="Palatino Linotype"/>
          <w:color w:val="00009E"/>
          <w:sz w:val="22"/>
        </w:rPr>
        <w:t>Eighth</w:t>
      </w:r>
      <w:r>
        <w:rPr>
          <w:rFonts w:ascii="Palatino Linotype" w:hAnsi="Palatino Linotype"/>
          <w:color w:val="00009E"/>
          <w:spacing w:val="-2"/>
          <w:sz w:val="22"/>
        </w:rPr>
        <w:t> </w:t>
      </w:r>
      <w:r>
        <w:rPr>
          <w:rFonts w:ascii="Palatino Linotype" w:hAnsi="Palatino Linotype"/>
          <w:color w:val="00009E"/>
          <w:sz w:val="22"/>
        </w:rPr>
        <w:t>Floor•</w:t>
      </w:r>
      <w:r>
        <w:rPr>
          <w:rFonts w:ascii="Palatino Linotype" w:hAnsi="Palatino Linotype"/>
          <w:color w:val="00009E"/>
          <w:spacing w:val="-2"/>
          <w:sz w:val="22"/>
        </w:rPr>
        <w:t> </w:t>
      </w:r>
      <w:r>
        <w:rPr>
          <w:rFonts w:ascii="Palatino Linotype" w:hAnsi="Palatino Linotype"/>
          <w:color w:val="00009E"/>
          <w:sz w:val="22"/>
        </w:rPr>
        <w:t>Washington,</w:t>
      </w:r>
      <w:r>
        <w:rPr>
          <w:rFonts w:ascii="Palatino Linotype" w:hAnsi="Palatino Linotype"/>
          <w:color w:val="00009E"/>
          <w:spacing w:val="-6"/>
          <w:sz w:val="22"/>
        </w:rPr>
        <w:t> </w:t>
      </w:r>
      <w:r>
        <w:rPr>
          <w:rFonts w:ascii="Palatino Linotype" w:hAnsi="Palatino Linotype"/>
          <w:color w:val="00009E"/>
          <w:sz w:val="22"/>
        </w:rPr>
        <w:t>DC</w:t>
      </w:r>
      <w:r>
        <w:rPr>
          <w:rFonts w:ascii="Palatino Linotype" w:hAnsi="Palatino Linotype"/>
          <w:color w:val="00009E"/>
          <w:spacing w:val="50"/>
          <w:sz w:val="22"/>
        </w:rPr>
        <w:t> </w:t>
      </w:r>
      <w:r>
        <w:rPr>
          <w:rFonts w:ascii="Palatino Linotype" w:hAnsi="Palatino Linotype"/>
          <w:color w:val="00009E"/>
          <w:sz w:val="22"/>
        </w:rPr>
        <w:t>20036</w:t>
      </w:r>
      <w:r>
        <w:rPr>
          <w:rFonts w:ascii="Palatino Linotype" w:hAnsi="Palatino Linotype"/>
          <w:color w:val="00009E"/>
          <w:spacing w:val="-2"/>
          <w:sz w:val="22"/>
        </w:rPr>
        <w:t> </w:t>
      </w:r>
      <w:r>
        <w:rPr>
          <w:rFonts w:ascii="Palatino Linotype" w:hAnsi="Palatino Linotype"/>
          <w:color w:val="00009E"/>
          <w:sz w:val="22"/>
        </w:rPr>
        <w:t>•</w:t>
      </w:r>
      <w:r>
        <w:rPr>
          <w:rFonts w:ascii="Palatino Linotype" w:hAnsi="Palatino Linotype"/>
          <w:color w:val="00009E"/>
          <w:spacing w:val="-4"/>
          <w:sz w:val="22"/>
        </w:rPr>
        <w:t> </w:t>
      </w:r>
      <w:hyperlink r:id="rId6">
        <w:r>
          <w:rPr>
            <w:rFonts w:ascii="Palatino Linotype" w:hAnsi="Palatino Linotype"/>
            <w:color w:val="00009E"/>
            <w:spacing w:val="-2"/>
            <w:sz w:val="22"/>
          </w:rPr>
          <w:t>www.itemcoalition.org</w:t>
        </w:r>
      </w:hyperlink>
    </w:p>
    <w:p>
      <w:pPr>
        <w:spacing w:line="285" w:lineRule="exact" w:before="0"/>
        <w:ind w:left="2" w:right="17"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20"/>
        </w:sectPr>
      </w:pPr>
    </w:p>
    <w:p>
      <w:pPr>
        <w:pStyle w:val="BodyText"/>
        <w:spacing w:before="75"/>
        <w:ind w:right="176"/>
      </w:pPr>
      <w:r>
        <w:rPr/>
        <w:t>The ITEM Coalition is a national consumer- and clinician-led coalition advocating for access to and coverage of assistive devices, technologies, and related services for persons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paralysis, cerebral palsy, spina bifida, multiple sclerosis, limb loss and limb difference, hearing, speech, and visual impairments, myositis, and other life- altering conditions.</w:t>
      </w:r>
    </w:p>
    <w:p>
      <w:pPr>
        <w:pStyle w:val="BodyText"/>
        <w:ind w:left="0"/>
      </w:pPr>
    </w:p>
    <w:p>
      <w:pPr>
        <w:pStyle w:val="BodyText"/>
        <w:ind w:right="176"/>
      </w:pPr>
      <w:r>
        <w:rPr/>
        <w:t>ITEM Coalition members have had long-standing concerns that the DMEPOS competitive bidding program limits access, choice, and quality of care.</w:t>
      </w:r>
      <w:r>
        <w:rPr>
          <w:spacing w:val="40"/>
        </w:rPr>
        <w:t> </w:t>
      </w:r>
      <w:r>
        <w:rPr/>
        <w:t>In 2018, CMS paused the CBP because of design flaws that caused unsustainable payment rates resulting in access issues for Medicare</w:t>
      </w:r>
      <w:r>
        <w:rPr>
          <w:spacing w:val="-4"/>
        </w:rPr>
        <w:t> </w:t>
      </w:r>
      <w:r>
        <w:rPr/>
        <w:t>beneficiaries</w:t>
      </w:r>
      <w:r>
        <w:rPr>
          <w:spacing w:val="-2"/>
        </w:rPr>
        <w:t> </w:t>
      </w:r>
      <w:r>
        <w:rPr/>
        <w:t>who</w:t>
      </w:r>
      <w:r>
        <w:rPr>
          <w:spacing w:val="-3"/>
        </w:rPr>
        <w:t> </w:t>
      </w:r>
      <w:r>
        <w:rPr/>
        <w:t>need</w:t>
      </w:r>
      <w:r>
        <w:rPr>
          <w:spacing w:val="-3"/>
        </w:rPr>
        <w:t> </w:t>
      </w:r>
      <w:r>
        <w:rPr/>
        <w:t>DMEPOS</w:t>
      </w:r>
      <w:r>
        <w:rPr>
          <w:spacing w:val="-3"/>
        </w:rPr>
        <w:t> </w:t>
      </w:r>
      <w:r>
        <w:rPr/>
        <w:t>services.</w:t>
      </w:r>
      <w:r>
        <w:rPr>
          <w:spacing w:val="-3"/>
        </w:rPr>
        <w:t> </w:t>
      </w:r>
      <w:r>
        <w:rPr/>
        <w:t>CMS</w:t>
      </w:r>
      <w:r>
        <w:rPr>
          <w:spacing w:val="-3"/>
        </w:rPr>
        <w:t> </w:t>
      </w:r>
      <w:r>
        <w:rPr/>
        <w:t>used</w:t>
      </w:r>
      <w:r>
        <w:rPr>
          <w:spacing w:val="-3"/>
        </w:rPr>
        <w:t> </w:t>
      </w:r>
      <w:r>
        <w:rPr/>
        <w:t>the</w:t>
      </w:r>
      <w:r>
        <w:rPr>
          <w:spacing w:val="-3"/>
        </w:rPr>
        <w:t> </w:t>
      </w:r>
      <w:r>
        <w:rPr/>
        <w:t>2-year</w:t>
      </w:r>
      <w:r>
        <w:rPr>
          <w:spacing w:val="-2"/>
        </w:rPr>
        <w:t> </w:t>
      </w:r>
      <w:r>
        <w:rPr/>
        <w:t>pause</w:t>
      </w:r>
      <w:r>
        <w:rPr>
          <w:spacing w:val="-4"/>
        </w:rPr>
        <w:t> </w:t>
      </w:r>
      <w:r>
        <w:rPr/>
        <w:t>to</w:t>
      </w:r>
      <w:r>
        <w:rPr>
          <w:spacing w:val="-3"/>
        </w:rPr>
        <w:t> </w:t>
      </w:r>
      <w:r>
        <w:rPr/>
        <w:t>redesign</w:t>
      </w:r>
      <w:r>
        <w:rPr>
          <w:spacing w:val="-3"/>
        </w:rPr>
        <w:t> </w:t>
      </w:r>
      <w:r>
        <w:rPr/>
        <w:t>the program.</w:t>
      </w:r>
      <w:r>
        <w:rPr>
          <w:spacing w:val="40"/>
        </w:rPr>
        <w:t> </w:t>
      </w:r>
      <w:r>
        <w:rPr/>
        <w:t>Unfortunately, CMS maintained the previously flawed payment rates that were established in 2016 during the pause, which were 50-60% lower than the unadjusted Medicare fee schedule rates.</w:t>
      </w:r>
      <w:r>
        <w:rPr>
          <w:spacing w:val="40"/>
        </w:rPr>
        <w:t> </w:t>
      </w:r>
      <w:r>
        <w:rPr/>
        <w:t>Congress and CMS have intervened numerous times through the years to provide additional relief, most recently providing a 75/25 blended rate for non-bid, non-rural areas through 2023 (75% Competitive Bid rate/25% unadjusted Medicare fee schedule rates).</w:t>
      </w:r>
    </w:p>
    <w:p>
      <w:pPr>
        <w:pStyle w:val="BodyText"/>
        <w:spacing w:before="1"/>
        <w:ind w:right="188"/>
      </w:pPr>
      <w:r>
        <w:rPr/>
        <w:t>While</w:t>
      </w:r>
      <w:r>
        <w:rPr>
          <w:spacing w:val="-4"/>
        </w:rPr>
        <w:t> </w:t>
      </w:r>
      <w:r>
        <w:rPr/>
        <w:t>not</w:t>
      </w:r>
      <w:r>
        <w:rPr>
          <w:spacing w:val="-3"/>
        </w:rPr>
        <w:t> </w:t>
      </w:r>
      <w:r>
        <w:rPr/>
        <w:t>ideal,</w:t>
      </w:r>
      <w:r>
        <w:rPr>
          <w:spacing w:val="-3"/>
        </w:rPr>
        <w:t> </w:t>
      </w:r>
      <w:r>
        <w:rPr/>
        <w:t>this</w:t>
      </w:r>
      <w:r>
        <w:rPr>
          <w:spacing w:val="-3"/>
        </w:rPr>
        <w:t> </w:t>
      </w:r>
      <w:r>
        <w:rPr/>
        <w:t>75/25</w:t>
      </w:r>
      <w:r>
        <w:rPr>
          <w:spacing w:val="-3"/>
        </w:rPr>
        <w:t> </w:t>
      </w:r>
      <w:r>
        <w:rPr/>
        <w:t>blended</w:t>
      </w:r>
      <w:r>
        <w:rPr>
          <w:spacing w:val="-3"/>
        </w:rPr>
        <w:t> </w:t>
      </w:r>
      <w:r>
        <w:rPr/>
        <w:t>rate</w:t>
      </w:r>
      <w:r>
        <w:rPr>
          <w:spacing w:val="-2"/>
        </w:rPr>
        <w:t> </w:t>
      </w:r>
      <w:r>
        <w:rPr/>
        <w:t>was</w:t>
      </w:r>
      <w:r>
        <w:rPr>
          <w:spacing w:val="-3"/>
        </w:rPr>
        <w:t> </w:t>
      </w:r>
      <w:r>
        <w:rPr/>
        <w:t>a</w:t>
      </w:r>
      <w:r>
        <w:rPr>
          <w:spacing w:val="-4"/>
        </w:rPr>
        <w:t> </w:t>
      </w:r>
      <w:r>
        <w:rPr/>
        <w:t>much-needed</w:t>
      </w:r>
      <w:r>
        <w:rPr>
          <w:spacing w:val="-3"/>
        </w:rPr>
        <w:t> </w:t>
      </w:r>
      <w:r>
        <w:rPr/>
        <w:t>lifeline</w:t>
      </w:r>
      <w:r>
        <w:rPr>
          <w:spacing w:val="-4"/>
        </w:rPr>
        <w:t> </w:t>
      </w:r>
      <w:r>
        <w:rPr/>
        <w:t>for</w:t>
      </w:r>
      <w:r>
        <w:rPr>
          <w:spacing w:val="-3"/>
        </w:rPr>
        <w:t> </w:t>
      </w:r>
      <w:r>
        <w:rPr/>
        <w:t>DMEPOS</w:t>
      </w:r>
      <w:r>
        <w:rPr>
          <w:spacing w:val="-1"/>
        </w:rPr>
        <w:t> </w:t>
      </w:r>
      <w:r>
        <w:rPr/>
        <w:t>suppliers</w:t>
      </w:r>
      <w:r>
        <w:rPr>
          <w:spacing w:val="-3"/>
        </w:rPr>
        <w:t> </w:t>
      </w:r>
      <w:r>
        <w:rPr/>
        <w:t>and providers and afforded beneficiaries continued access to the level of care and services that they </w:t>
      </w:r>
      <w:r>
        <w:rPr>
          <w:spacing w:val="-2"/>
        </w:rPr>
        <w:t>needed.</w:t>
      </w:r>
    </w:p>
    <w:p>
      <w:pPr>
        <w:pStyle w:val="BodyText"/>
        <w:ind w:left="0"/>
      </w:pPr>
    </w:p>
    <w:p>
      <w:pPr>
        <w:pStyle w:val="BodyText"/>
        <w:ind w:right="176"/>
      </w:pPr>
      <w:r>
        <w:rPr/>
        <w:t>The 75/25 blended rate expired on January 1, 2024, and this has led to a 20% fee reduction across the top 25 DME HCPCS codes, dealing a crushing blow to DMEPOS suppliers and providers,</w:t>
      </w:r>
      <w:r>
        <w:rPr>
          <w:spacing w:val="-4"/>
        </w:rPr>
        <w:t> </w:t>
      </w:r>
      <w:r>
        <w:rPr/>
        <w:t>threatening</w:t>
      </w:r>
      <w:r>
        <w:rPr>
          <w:spacing w:val="-5"/>
        </w:rPr>
        <w:t> </w:t>
      </w:r>
      <w:r>
        <w:rPr/>
        <w:t>to</w:t>
      </w:r>
      <w:r>
        <w:rPr>
          <w:spacing w:val="-4"/>
        </w:rPr>
        <w:t> </w:t>
      </w:r>
      <w:r>
        <w:rPr/>
        <w:t>decimate</w:t>
      </w:r>
      <w:r>
        <w:rPr>
          <w:spacing w:val="-5"/>
        </w:rPr>
        <w:t> </w:t>
      </w:r>
      <w:r>
        <w:rPr/>
        <w:t>the</w:t>
      </w:r>
      <w:r>
        <w:rPr>
          <w:spacing w:val="-5"/>
        </w:rPr>
        <w:t> </w:t>
      </w:r>
      <w:r>
        <w:rPr/>
        <w:t>infrastructure</w:t>
      </w:r>
      <w:r>
        <w:rPr>
          <w:spacing w:val="-6"/>
        </w:rPr>
        <w:t> </w:t>
      </w:r>
      <w:r>
        <w:rPr/>
        <w:t>that</w:t>
      </w:r>
      <w:r>
        <w:rPr>
          <w:spacing w:val="-4"/>
        </w:rPr>
        <w:t> </w:t>
      </w:r>
      <w:r>
        <w:rPr/>
        <w:t>enables</w:t>
      </w:r>
      <w:r>
        <w:rPr>
          <w:spacing w:val="-2"/>
        </w:rPr>
        <w:t> </w:t>
      </w:r>
      <w:r>
        <w:rPr/>
        <w:t>Medicare</w:t>
      </w:r>
      <w:r>
        <w:rPr>
          <w:spacing w:val="-4"/>
        </w:rPr>
        <w:t> </w:t>
      </w:r>
      <w:r>
        <w:rPr/>
        <w:t>beneficiaries</w:t>
      </w:r>
      <w:r>
        <w:rPr>
          <w:spacing w:val="-5"/>
        </w:rPr>
        <w:t> </w:t>
      </w:r>
      <w:r>
        <w:rPr/>
        <w:t>with disabilities and chronic conditions to manage their medical and functional needs at home.</w:t>
      </w:r>
    </w:p>
    <w:p>
      <w:pPr>
        <w:pStyle w:val="BodyText"/>
        <w:spacing w:before="1"/>
      </w:pPr>
      <w:r>
        <w:rPr/>
        <w:t>Legislation</w:t>
      </w:r>
      <w:r>
        <w:rPr>
          <w:spacing w:val="-3"/>
        </w:rPr>
        <w:t> </w:t>
      </w:r>
      <w:r>
        <w:rPr/>
        <w:t>has</w:t>
      </w:r>
      <w:r>
        <w:rPr>
          <w:spacing w:val="-3"/>
        </w:rPr>
        <w:t> </w:t>
      </w:r>
      <w:r>
        <w:rPr/>
        <w:t>been</w:t>
      </w:r>
      <w:r>
        <w:rPr>
          <w:spacing w:val="-3"/>
        </w:rPr>
        <w:t> </w:t>
      </w:r>
      <w:r>
        <w:rPr/>
        <w:t>introduced</w:t>
      </w:r>
      <w:r>
        <w:rPr>
          <w:spacing w:val="-3"/>
        </w:rPr>
        <w:t> </w:t>
      </w:r>
      <w:r>
        <w:rPr/>
        <w:t>in</w:t>
      </w:r>
      <w:r>
        <w:rPr>
          <w:spacing w:val="-3"/>
        </w:rPr>
        <w:t> </w:t>
      </w:r>
      <w:r>
        <w:rPr/>
        <w:t>both</w:t>
      </w:r>
      <w:r>
        <w:rPr>
          <w:spacing w:val="-3"/>
        </w:rPr>
        <w:t> </w:t>
      </w:r>
      <w:r>
        <w:rPr/>
        <w:t>the</w:t>
      </w:r>
      <w:r>
        <w:rPr>
          <w:spacing w:val="-3"/>
        </w:rPr>
        <w:t> </w:t>
      </w:r>
      <w:r>
        <w:rPr/>
        <w:t>House</w:t>
      </w:r>
      <w:r>
        <w:rPr>
          <w:spacing w:val="-2"/>
        </w:rPr>
        <w:t> </w:t>
      </w:r>
      <w:r>
        <w:rPr/>
        <w:t>and</w:t>
      </w:r>
      <w:r>
        <w:rPr>
          <w:spacing w:val="-3"/>
        </w:rPr>
        <w:t> </w:t>
      </w:r>
      <w:r>
        <w:rPr/>
        <w:t>Senate</w:t>
      </w:r>
      <w:r>
        <w:rPr>
          <w:spacing w:val="-3"/>
        </w:rPr>
        <w:t> </w:t>
      </w:r>
      <w:r>
        <w:rPr/>
        <w:t>that</w:t>
      </w:r>
      <w:r>
        <w:rPr>
          <w:spacing w:val="-3"/>
        </w:rPr>
        <w:t> </w:t>
      </w:r>
      <w:r>
        <w:rPr/>
        <w:t>would</w:t>
      </w:r>
      <w:r>
        <w:rPr>
          <w:spacing w:val="-3"/>
        </w:rPr>
        <w:t> </w:t>
      </w:r>
      <w:r>
        <w:rPr/>
        <w:t>provide</w:t>
      </w:r>
      <w:r>
        <w:rPr>
          <w:spacing w:val="-3"/>
        </w:rPr>
        <w:t> </w:t>
      </w:r>
      <w:r>
        <w:rPr/>
        <w:t>relief</w:t>
      </w:r>
      <w:r>
        <w:rPr>
          <w:spacing w:val="-3"/>
        </w:rPr>
        <w:t> </w:t>
      </w:r>
      <w:r>
        <w:rPr/>
        <w:t>from</w:t>
      </w:r>
      <w:r>
        <w:rPr>
          <w:spacing w:val="-3"/>
        </w:rPr>
        <w:t> </w:t>
      </w:r>
      <w:r>
        <w:rPr/>
        <w:t>the devastating impact that these reimbursement reductions are creating across the country.</w:t>
      </w:r>
    </w:p>
    <w:p>
      <w:pPr>
        <w:pStyle w:val="BodyText"/>
        <w:ind w:left="0"/>
      </w:pPr>
    </w:p>
    <w:p>
      <w:pPr>
        <w:pStyle w:val="BodyText"/>
        <w:ind w:right="188"/>
      </w:pPr>
      <w:r>
        <w:rPr/>
        <w:t>Representatives</w:t>
      </w:r>
      <w:r>
        <w:rPr>
          <w:spacing w:val="-1"/>
        </w:rPr>
        <w:t> </w:t>
      </w:r>
      <w:r>
        <w:rPr/>
        <w:t>Mariannette</w:t>
      </w:r>
      <w:r>
        <w:rPr>
          <w:spacing w:val="-2"/>
        </w:rPr>
        <w:t> </w:t>
      </w:r>
      <w:r>
        <w:rPr/>
        <w:t>Miller-Meeks (R-IA),</w:t>
      </w:r>
      <w:r>
        <w:rPr>
          <w:spacing w:val="-1"/>
        </w:rPr>
        <w:t> </w:t>
      </w:r>
      <w:r>
        <w:rPr/>
        <w:t>Paul</w:t>
      </w:r>
      <w:r>
        <w:rPr>
          <w:spacing w:val="-1"/>
        </w:rPr>
        <w:t> </w:t>
      </w:r>
      <w:r>
        <w:rPr/>
        <w:t>Tonko</w:t>
      </w:r>
      <w:r>
        <w:rPr>
          <w:spacing w:val="-1"/>
        </w:rPr>
        <w:t> </w:t>
      </w:r>
      <w:r>
        <w:rPr/>
        <w:t>(D-NY), and</w:t>
      </w:r>
      <w:r>
        <w:rPr>
          <w:spacing w:val="-1"/>
        </w:rPr>
        <w:t> </w:t>
      </w:r>
      <w:r>
        <w:rPr/>
        <w:t>Ashley</w:t>
      </w:r>
      <w:r>
        <w:rPr>
          <w:spacing w:val="-1"/>
        </w:rPr>
        <w:t> </w:t>
      </w:r>
      <w:r>
        <w:rPr/>
        <w:t>Hinson</w:t>
      </w:r>
      <w:r>
        <w:rPr>
          <w:spacing w:val="-1"/>
        </w:rPr>
        <w:t> </w:t>
      </w:r>
      <w:r>
        <w:rPr/>
        <w:t>(R- IA) have introduced H.R. 5555, the </w:t>
      </w:r>
      <w:r>
        <w:rPr>
          <w:i/>
        </w:rPr>
        <w:t>DMEPOS Relief Act, </w:t>
      </w:r>
      <w:r>
        <w:rPr/>
        <w:t>which would provide a 90/10 blended Medicare</w:t>
      </w:r>
      <w:r>
        <w:rPr>
          <w:spacing w:val="-5"/>
        </w:rPr>
        <w:t> </w:t>
      </w:r>
      <w:r>
        <w:rPr/>
        <w:t>reimbursement</w:t>
      </w:r>
      <w:r>
        <w:rPr>
          <w:spacing w:val="-4"/>
        </w:rPr>
        <w:t> </w:t>
      </w:r>
      <w:r>
        <w:rPr/>
        <w:t>rate</w:t>
      </w:r>
      <w:r>
        <w:rPr>
          <w:spacing w:val="-4"/>
        </w:rPr>
        <w:t> </w:t>
      </w:r>
      <w:r>
        <w:rPr/>
        <w:t>(90%</w:t>
      </w:r>
      <w:r>
        <w:rPr>
          <w:spacing w:val="-3"/>
        </w:rPr>
        <w:t> </w:t>
      </w:r>
      <w:r>
        <w:rPr/>
        <w:t>adjusted</w:t>
      </w:r>
      <w:r>
        <w:rPr>
          <w:spacing w:val="-4"/>
        </w:rPr>
        <w:t> </w:t>
      </w:r>
      <w:r>
        <w:rPr/>
        <w:t>payment</w:t>
      </w:r>
      <w:r>
        <w:rPr>
          <w:spacing w:val="-4"/>
        </w:rPr>
        <w:t> </w:t>
      </w:r>
      <w:r>
        <w:rPr/>
        <w:t>rate/10%</w:t>
      </w:r>
      <w:r>
        <w:rPr>
          <w:spacing w:val="-5"/>
        </w:rPr>
        <w:t> </w:t>
      </w:r>
      <w:r>
        <w:rPr/>
        <w:t>unadjusted</w:t>
      </w:r>
      <w:r>
        <w:rPr>
          <w:spacing w:val="-4"/>
        </w:rPr>
        <w:t> </w:t>
      </w:r>
      <w:r>
        <w:rPr/>
        <w:t>fee</w:t>
      </w:r>
      <w:r>
        <w:rPr>
          <w:spacing w:val="-5"/>
        </w:rPr>
        <w:t> </w:t>
      </w:r>
      <w:r>
        <w:rPr/>
        <w:t>schedule</w:t>
      </w:r>
      <w:r>
        <w:rPr>
          <w:spacing w:val="-4"/>
        </w:rPr>
        <w:t> </w:t>
      </w:r>
      <w:r>
        <w:rPr/>
        <w:t>rate)</w:t>
      </w:r>
      <w:r>
        <w:rPr>
          <w:spacing w:val="-6"/>
        </w:rPr>
        <w:t> </w:t>
      </w:r>
      <w:r>
        <w:rPr/>
        <w:t>for most home medical equipment products in Competitive Bidding Areas (“CBAs”).</w:t>
      </w:r>
      <w:r>
        <w:rPr>
          <w:spacing w:val="40"/>
        </w:rPr>
        <w:t> </w:t>
      </w:r>
      <w:r>
        <w:rPr/>
        <w:t>This bill would also extend the 75/25 blended rate that expired in January for non-rural/non-CBA suppliers and providers for a</w:t>
      </w:r>
      <w:r>
        <w:rPr>
          <w:spacing w:val="-1"/>
        </w:rPr>
        <w:t> </w:t>
      </w:r>
      <w:r>
        <w:rPr/>
        <w:t>specified length of time.</w:t>
      </w:r>
      <w:r>
        <w:rPr>
          <w:spacing w:val="40"/>
        </w:rPr>
        <w:t> </w:t>
      </w:r>
      <w:r>
        <w:rPr/>
        <w:t>Senators John Thune (R-SD)</w:t>
      </w:r>
      <w:r>
        <w:rPr>
          <w:spacing w:val="-1"/>
        </w:rPr>
        <w:t> </w:t>
      </w:r>
      <w:r>
        <w:rPr/>
        <w:t>and Debbie Stabenow (D-MI) have also introduced S. 1294, the </w:t>
      </w:r>
      <w:r>
        <w:rPr>
          <w:i/>
        </w:rPr>
        <w:t>Competitive Bidding Relief Act, </w:t>
      </w:r>
      <w:r>
        <w:rPr/>
        <w:t>which would extend the 75/25 blended Medicare reimbursement rate for suppliers in non-rural, non- CBAs through a specified length of time.</w:t>
      </w:r>
      <w:r>
        <w:rPr>
          <w:spacing w:val="40"/>
        </w:rPr>
        <w:t> </w:t>
      </w:r>
      <w:r>
        <w:rPr/>
        <w:t>While these are not companion bills, provisions from each bill would help ameliorate the negative impacts of this situation going forward.</w:t>
      </w:r>
    </w:p>
    <w:p>
      <w:pPr>
        <w:pStyle w:val="BodyText"/>
        <w:spacing w:before="1"/>
        <w:ind w:left="0"/>
      </w:pPr>
    </w:p>
    <w:p>
      <w:pPr>
        <w:pStyle w:val="BodyText"/>
        <w:ind w:right="176"/>
      </w:pPr>
      <w:r>
        <w:rPr/>
        <w:t>Provisions from these bills, taken together, would ensure continued beneficiary access to DMEPOS</w:t>
      </w:r>
      <w:r>
        <w:rPr>
          <w:spacing w:val="-3"/>
        </w:rPr>
        <w:t> </w:t>
      </w:r>
      <w:r>
        <w:rPr/>
        <w:t>services</w:t>
      </w:r>
      <w:r>
        <w:rPr>
          <w:spacing w:val="-3"/>
        </w:rPr>
        <w:t> </w:t>
      </w:r>
      <w:r>
        <w:rPr/>
        <w:t>and</w:t>
      </w:r>
      <w:r>
        <w:rPr>
          <w:spacing w:val="-3"/>
        </w:rPr>
        <w:t> </w:t>
      </w:r>
      <w:r>
        <w:rPr/>
        <w:t>devices,</w:t>
      </w:r>
      <w:r>
        <w:rPr>
          <w:spacing w:val="-3"/>
        </w:rPr>
        <w:t> </w:t>
      </w:r>
      <w:r>
        <w:rPr/>
        <w:t>provide</w:t>
      </w:r>
      <w:r>
        <w:rPr>
          <w:spacing w:val="-2"/>
        </w:rPr>
        <w:t> </w:t>
      </w:r>
      <w:r>
        <w:rPr/>
        <w:t>a</w:t>
      </w:r>
      <w:r>
        <w:rPr>
          <w:spacing w:val="-4"/>
        </w:rPr>
        <w:t> </w:t>
      </w:r>
      <w:r>
        <w:rPr/>
        <w:t>much-needed</w:t>
      </w:r>
      <w:r>
        <w:rPr>
          <w:spacing w:val="-3"/>
        </w:rPr>
        <w:t> </w:t>
      </w:r>
      <w:r>
        <w:rPr/>
        <w:t>measure</w:t>
      </w:r>
      <w:r>
        <w:rPr>
          <w:spacing w:val="-5"/>
        </w:rPr>
        <w:t> </w:t>
      </w:r>
      <w:r>
        <w:rPr/>
        <w:t>of</w:t>
      </w:r>
      <w:r>
        <w:rPr>
          <w:spacing w:val="-3"/>
        </w:rPr>
        <w:t> </w:t>
      </w:r>
      <w:r>
        <w:rPr/>
        <w:t>relief</w:t>
      </w:r>
      <w:r>
        <w:rPr>
          <w:spacing w:val="-3"/>
        </w:rPr>
        <w:t> </w:t>
      </w:r>
      <w:r>
        <w:rPr/>
        <w:t>and</w:t>
      </w:r>
      <w:r>
        <w:rPr>
          <w:spacing w:val="-3"/>
        </w:rPr>
        <w:t> </w:t>
      </w:r>
      <w:r>
        <w:rPr/>
        <w:t>stability</w:t>
      </w:r>
      <w:r>
        <w:rPr>
          <w:spacing w:val="-3"/>
        </w:rPr>
        <w:t> </w:t>
      </w:r>
      <w:r>
        <w:rPr/>
        <w:t>for</w:t>
      </w:r>
      <w:r>
        <w:rPr>
          <w:spacing w:val="-5"/>
        </w:rPr>
        <w:t> </w:t>
      </w:r>
      <w:r>
        <w:rPr/>
        <w:t>non- rural, non-CBA suppliers, and also have positive impacts on reimbursement levels from other payers who pattern their reimbursement levels off the Medicare fee schedule.</w:t>
      </w:r>
    </w:p>
    <w:p>
      <w:pPr>
        <w:spacing w:after="0"/>
        <w:sectPr>
          <w:footerReference w:type="default" r:id="rId7"/>
          <w:pgSz w:w="12240" w:h="15840"/>
          <w:pgMar w:header="0" w:footer="1325" w:top="1640" w:bottom="1520" w:left="1340" w:right="1320"/>
          <w:pgNumType w:start="2"/>
        </w:sectPr>
      </w:pPr>
    </w:p>
    <w:p>
      <w:pPr>
        <w:pStyle w:val="BodyText"/>
        <w:spacing w:before="79"/>
        <w:ind w:right="196"/>
      </w:pPr>
      <w:r>
        <w:rPr/>
        <w:t>The ITEM Coalition typically does not address reimbursement issues and tends to focus on coverage and coding of assistive devices and technologies.</w:t>
      </w:r>
      <w:r>
        <w:rPr>
          <w:spacing w:val="40"/>
        </w:rPr>
        <w:t> </w:t>
      </w:r>
      <w:r>
        <w:rPr/>
        <w:t>However, when reimbursement policies materially impact patient access to care, we feel we must weigh-in with our members’ concerns.</w:t>
      </w:r>
      <w:r>
        <w:rPr>
          <w:spacing w:val="40"/>
        </w:rPr>
        <w:t> </w:t>
      </w:r>
      <w:r>
        <w:rPr/>
        <w:t>The reason the competitively bid rates are not presently adequate to support access and quality of DMEPOS care to Medicare beneficiaries is because the competitive bidding program is no longer in effect.</w:t>
      </w:r>
      <w:r>
        <w:rPr>
          <w:spacing w:val="40"/>
        </w:rPr>
        <w:t> </w:t>
      </w:r>
      <w:r>
        <w:rPr/>
        <w:t>This means that any supplier or provider who participates in Medicare can provide the DMEPOS benefit.</w:t>
      </w:r>
      <w:r>
        <w:rPr>
          <w:spacing w:val="40"/>
        </w:rPr>
        <w:t> </w:t>
      </w:r>
      <w:r>
        <w:rPr/>
        <w:t>Contracts with a limited number of suppliers in a particular competitive bidding area are no longer necessary, resulting in far less volume of patients being directed to certain suppliers, who, when the competitive bidding program was in effect,</w:t>
      </w:r>
      <w:r>
        <w:rPr>
          <w:spacing w:val="-3"/>
        </w:rPr>
        <w:t> </w:t>
      </w:r>
      <w:r>
        <w:rPr/>
        <w:t>were</w:t>
      </w:r>
      <w:r>
        <w:rPr>
          <w:spacing w:val="-4"/>
        </w:rPr>
        <w:t> </w:t>
      </w:r>
      <w:r>
        <w:rPr/>
        <w:t>able</w:t>
      </w:r>
      <w:r>
        <w:rPr>
          <w:spacing w:val="-3"/>
        </w:rPr>
        <w:t> </w:t>
      </w:r>
      <w:r>
        <w:rPr/>
        <w:t>to</w:t>
      </w:r>
      <w:r>
        <w:rPr>
          <w:spacing w:val="-3"/>
        </w:rPr>
        <w:t> </w:t>
      </w:r>
      <w:r>
        <w:rPr/>
        <w:t>discount</w:t>
      </w:r>
      <w:r>
        <w:rPr>
          <w:spacing w:val="-3"/>
        </w:rPr>
        <w:t> </w:t>
      </w:r>
      <w:r>
        <w:rPr/>
        <w:t>their</w:t>
      </w:r>
      <w:r>
        <w:rPr>
          <w:spacing w:val="-3"/>
        </w:rPr>
        <w:t> </w:t>
      </w:r>
      <w:r>
        <w:rPr/>
        <w:t>prices</w:t>
      </w:r>
      <w:r>
        <w:rPr>
          <w:spacing w:val="-3"/>
        </w:rPr>
        <w:t> </w:t>
      </w:r>
      <w:r>
        <w:rPr/>
        <w:t>in</w:t>
      </w:r>
      <w:r>
        <w:rPr>
          <w:spacing w:val="-3"/>
        </w:rPr>
        <w:t> </w:t>
      </w:r>
      <w:r>
        <w:rPr/>
        <w:t>exchange</w:t>
      </w:r>
      <w:r>
        <w:rPr>
          <w:spacing w:val="-4"/>
        </w:rPr>
        <w:t> </w:t>
      </w:r>
      <w:r>
        <w:rPr/>
        <w:t>for</w:t>
      </w:r>
      <w:r>
        <w:rPr>
          <w:spacing w:val="-5"/>
        </w:rPr>
        <w:t> </w:t>
      </w:r>
      <w:r>
        <w:rPr/>
        <w:t>greater</w:t>
      </w:r>
      <w:r>
        <w:rPr>
          <w:spacing w:val="-3"/>
        </w:rPr>
        <w:t> </w:t>
      </w:r>
      <w:r>
        <w:rPr/>
        <w:t>volume.</w:t>
      </w:r>
      <w:r>
        <w:rPr>
          <w:spacing w:val="40"/>
        </w:rPr>
        <w:t> </w:t>
      </w:r>
      <w:r>
        <w:rPr/>
        <w:t>Without</w:t>
      </w:r>
      <w:r>
        <w:rPr>
          <w:spacing w:val="-3"/>
        </w:rPr>
        <w:t> </w:t>
      </w:r>
      <w:r>
        <w:rPr/>
        <w:t>the</w:t>
      </w:r>
      <w:r>
        <w:rPr>
          <w:spacing w:val="-4"/>
        </w:rPr>
        <w:t> </w:t>
      </w:r>
      <w:r>
        <w:rPr/>
        <w:t>increased volume, many suppliers are not able to remain viable at the decreased competitively bid rates. The legislation cited above would help ameliorate this situation and increase access to patient </w:t>
      </w:r>
      <w:r>
        <w:rPr>
          <w:spacing w:val="-2"/>
        </w:rPr>
        <w:t>care.</w:t>
      </w:r>
    </w:p>
    <w:p>
      <w:pPr>
        <w:pStyle w:val="BodyText"/>
        <w:spacing w:before="1"/>
        <w:ind w:left="0"/>
      </w:pPr>
    </w:p>
    <w:p>
      <w:pPr>
        <w:pStyle w:val="BodyText"/>
      </w:pPr>
      <w:r>
        <w:rPr/>
        <w:t>Therefore, the ITEM Coalition respectfully urges both House and Senate leadership to include provisions from these bills in any legislative package that moves prior to the end of the 118</w:t>
      </w:r>
      <w:r>
        <w:rPr>
          <w:vertAlign w:val="superscript"/>
        </w:rPr>
        <w:t>th</w:t>
      </w:r>
      <w:r>
        <w:rPr>
          <w:vertAlign w:val="baseline"/>
        </w:rPr>
        <w:t> Congress</w:t>
      </w:r>
      <w:r>
        <w:rPr>
          <w:spacing w:val="-4"/>
          <w:vertAlign w:val="baseline"/>
        </w:rPr>
        <w:t> </w:t>
      </w:r>
      <w:r>
        <w:rPr>
          <w:vertAlign w:val="baseline"/>
        </w:rPr>
        <w:t>in</w:t>
      </w:r>
      <w:r>
        <w:rPr>
          <w:spacing w:val="-4"/>
          <w:vertAlign w:val="baseline"/>
        </w:rPr>
        <w:t> </w:t>
      </w:r>
      <w:r>
        <w:rPr>
          <w:vertAlign w:val="baseline"/>
        </w:rPr>
        <w:t>order</w:t>
      </w:r>
      <w:r>
        <w:rPr>
          <w:spacing w:val="-4"/>
          <w:vertAlign w:val="baseline"/>
        </w:rPr>
        <w:t> </w:t>
      </w:r>
      <w:r>
        <w:rPr>
          <w:vertAlign w:val="baseline"/>
        </w:rPr>
        <w:t>to</w:t>
      </w:r>
      <w:r>
        <w:rPr>
          <w:spacing w:val="-4"/>
          <w:vertAlign w:val="baseline"/>
        </w:rPr>
        <w:t> </w:t>
      </w:r>
      <w:r>
        <w:rPr>
          <w:vertAlign w:val="baseline"/>
        </w:rPr>
        <w:t>preserve</w:t>
      </w:r>
      <w:r>
        <w:rPr>
          <w:spacing w:val="-6"/>
          <w:vertAlign w:val="baseline"/>
        </w:rPr>
        <w:t> </w:t>
      </w:r>
      <w:r>
        <w:rPr>
          <w:vertAlign w:val="baseline"/>
        </w:rPr>
        <w:t>and</w:t>
      </w:r>
      <w:r>
        <w:rPr>
          <w:spacing w:val="-4"/>
          <w:vertAlign w:val="baseline"/>
        </w:rPr>
        <w:t> </w:t>
      </w:r>
      <w:r>
        <w:rPr>
          <w:vertAlign w:val="baseline"/>
        </w:rPr>
        <w:t>protect</w:t>
      </w:r>
      <w:r>
        <w:rPr>
          <w:spacing w:val="-2"/>
          <w:vertAlign w:val="baseline"/>
        </w:rPr>
        <w:t> </w:t>
      </w:r>
      <w:r>
        <w:rPr>
          <w:vertAlign w:val="baseline"/>
        </w:rPr>
        <w:t>access</w:t>
      </w:r>
      <w:r>
        <w:rPr>
          <w:spacing w:val="-4"/>
          <w:vertAlign w:val="baseline"/>
        </w:rPr>
        <w:t> </w:t>
      </w:r>
      <w:r>
        <w:rPr>
          <w:vertAlign w:val="baseline"/>
        </w:rPr>
        <w:t>to</w:t>
      </w:r>
      <w:r>
        <w:rPr>
          <w:spacing w:val="-4"/>
          <w:vertAlign w:val="baseline"/>
        </w:rPr>
        <w:t> </w:t>
      </w:r>
      <w:r>
        <w:rPr>
          <w:vertAlign w:val="baseline"/>
        </w:rPr>
        <w:t>affordable,</w:t>
      </w:r>
      <w:r>
        <w:rPr>
          <w:spacing w:val="-4"/>
          <w:vertAlign w:val="baseline"/>
        </w:rPr>
        <w:t> </w:t>
      </w:r>
      <w:r>
        <w:rPr>
          <w:vertAlign w:val="baseline"/>
        </w:rPr>
        <w:t>timely,</w:t>
      </w:r>
      <w:r>
        <w:rPr>
          <w:spacing w:val="-4"/>
          <w:vertAlign w:val="baseline"/>
        </w:rPr>
        <w:t> </w:t>
      </w:r>
      <w:r>
        <w:rPr>
          <w:vertAlign w:val="baseline"/>
        </w:rPr>
        <w:t>and</w:t>
      </w:r>
      <w:r>
        <w:rPr>
          <w:spacing w:val="-3"/>
          <w:vertAlign w:val="baseline"/>
        </w:rPr>
        <w:t> </w:t>
      </w:r>
      <w:r>
        <w:rPr>
          <w:vertAlign w:val="baseline"/>
        </w:rPr>
        <w:t>quality</w:t>
      </w:r>
      <w:r>
        <w:rPr>
          <w:spacing w:val="-4"/>
          <w:vertAlign w:val="baseline"/>
        </w:rPr>
        <w:t> </w:t>
      </w:r>
      <w:r>
        <w:rPr>
          <w:vertAlign w:val="baseline"/>
        </w:rPr>
        <w:t>home</w:t>
      </w:r>
      <w:r>
        <w:rPr>
          <w:spacing w:val="-5"/>
          <w:vertAlign w:val="baseline"/>
        </w:rPr>
        <w:t> </w:t>
      </w:r>
      <w:r>
        <w:rPr>
          <w:vertAlign w:val="baseline"/>
        </w:rPr>
        <w:t>medical equipment for Medicare beneficiaries.</w:t>
      </w:r>
    </w:p>
    <w:p>
      <w:pPr>
        <w:pStyle w:val="BodyText"/>
        <w:ind w:left="0"/>
      </w:pPr>
    </w:p>
    <w:p>
      <w:pPr>
        <w:spacing w:before="0"/>
        <w:ind w:left="0" w:right="17" w:firstLine="0"/>
        <w:jc w:val="center"/>
        <w:rPr>
          <w:sz w:val="24"/>
        </w:rPr>
      </w:pPr>
      <w:r>
        <w:rPr>
          <w:spacing w:val="-2"/>
          <w:sz w:val="24"/>
        </w:rPr>
        <w:t>************</w:t>
      </w:r>
    </w:p>
    <w:p>
      <w:pPr>
        <w:pStyle w:val="BodyText"/>
        <w:ind w:left="0"/>
      </w:pPr>
    </w:p>
    <w:p>
      <w:pPr>
        <w:pStyle w:val="BodyText"/>
        <w:ind w:right="117"/>
      </w:pPr>
      <w:r>
        <w:rPr/>
        <w:t>Thank</w:t>
      </w:r>
      <w:r>
        <w:rPr>
          <w:spacing w:val="-3"/>
        </w:rPr>
        <w:t> </w:t>
      </w:r>
      <w:r>
        <w:rPr/>
        <w:t>you</w:t>
      </w:r>
      <w:r>
        <w:rPr>
          <w:spacing w:val="-3"/>
        </w:rPr>
        <w:t> </w:t>
      </w:r>
      <w:r>
        <w:rPr/>
        <w:t>for</w:t>
      </w:r>
      <w:r>
        <w:rPr>
          <w:spacing w:val="-3"/>
        </w:rPr>
        <w:t> </w:t>
      </w:r>
      <w:r>
        <w:rPr/>
        <w:t>your</w:t>
      </w:r>
      <w:r>
        <w:rPr>
          <w:spacing w:val="-2"/>
        </w:rPr>
        <w:t> </w:t>
      </w:r>
      <w:r>
        <w:rPr/>
        <w:t>consideration</w:t>
      </w:r>
      <w:r>
        <w:rPr>
          <w:spacing w:val="-3"/>
        </w:rPr>
        <w:t> </w:t>
      </w:r>
      <w:r>
        <w:rPr/>
        <w:t>of</w:t>
      </w:r>
      <w:r>
        <w:rPr>
          <w:spacing w:val="-4"/>
        </w:rPr>
        <w:t> </w:t>
      </w:r>
      <w:r>
        <w:rPr/>
        <w:t>our</w:t>
      </w:r>
      <w:r>
        <w:rPr>
          <w:spacing w:val="-2"/>
        </w:rPr>
        <w:t> </w:t>
      </w:r>
      <w:r>
        <w:rPr/>
        <w:t>request.</w:t>
      </w:r>
      <w:r>
        <w:rPr>
          <w:spacing w:val="40"/>
        </w:rPr>
        <w:t> </w:t>
      </w:r>
      <w:r>
        <w:rPr/>
        <w:t>We</w:t>
      </w:r>
      <w:r>
        <w:rPr>
          <w:spacing w:val="-4"/>
        </w:rPr>
        <w:t> </w:t>
      </w:r>
      <w:r>
        <w:rPr/>
        <w:t>look</w:t>
      </w:r>
      <w:r>
        <w:rPr>
          <w:spacing w:val="-3"/>
        </w:rPr>
        <w:t> </w:t>
      </w:r>
      <w:r>
        <w:rPr/>
        <w:t>forward</w:t>
      </w:r>
      <w:r>
        <w:rPr>
          <w:spacing w:val="-3"/>
        </w:rPr>
        <w:t> </w:t>
      </w:r>
      <w:r>
        <w:rPr/>
        <w:t>to</w:t>
      </w:r>
      <w:r>
        <w:rPr>
          <w:spacing w:val="-3"/>
        </w:rPr>
        <w:t> </w:t>
      </w:r>
      <w:r>
        <w:rPr/>
        <w:t>working</w:t>
      </w:r>
      <w:r>
        <w:rPr>
          <w:spacing w:val="-3"/>
        </w:rPr>
        <w:t> </w:t>
      </w:r>
      <w:r>
        <w:rPr/>
        <w:t>with</w:t>
      </w:r>
      <w:r>
        <w:rPr>
          <w:spacing w:val="-2"/>
        </w:rPr>
        <w:t> </w:t>
      </w:r>
      <w:r>
        <w:rPr/>
        <w:t>you</w:t>
      </w:r>
      <w:r>
        <w:rPr>
          <w:spacing w:val="-3"/>
        </w:rPr>
        <w:t> </w:t>
      </w:r>
      <w:r>
        <w:rPr/>
        <w:t>and</w:t>
      </w:r>
      <w:r>
        <w:rPr>
          <w:spacing w:val="-3"/>
        </w:rPr>
        <w:t> </w:t>
      </w:r>
      <w:r>
        <w:rPr/>
        <w:t>your House and Senate colleagues to ensure provisions from these two pieces of legislation are included in any end-of-year package moving before the end of the 118</w:t>
      </w:r>
      <w:r>
        <w:rPr>
          <w:vertAlign w:val="superscript"/>
        </w:rPr>
        <w:t>th</w:t>
      </w:r>
      <w:r>
        <w:rPr>
          <w:vertAlign w:val="baseline"/>
        </w:rPr>
        <w:t> Congress.</w:t>
      </w:r>
      <w:r>
        <w:rPr>
          <w:spacing w:val="40"/>
          <w:vertAlign w:val="baseline"/>
        </w:rPr>
        <w:t> </w:t>
      </w:r>
      <w:r>
        <w:rPr>
          <w:vertAlign w:val="baseline"/>
        </w:rPr>
        <w:t>If you have any questions regarding this matter, please contact the ITEM Coalition Co-Coordinators, </w:t>
      </w:r>
      <w:hyperlink r:id="rId8">
        <w:r>
          <w:rPr>
            <w:color w:val="0000FF"/>
            <w:u w:val="single" w:color="0000FF"/>
            <w:vertAlign w:val="baseline"/>
          </w:rPr>
          <w:t>Peter.Thomas@PowersLaw.com</w:t>
        </w:r>
      </w:hyperlink>
      <w:r>
        <w:rPr>
          <w:color w:val="0000FF"/>
          <w:u w:val="none"/>
          <w:vertAlign w:val="baseline"/>
        </w:rPr>
        <w:t> </w:t>
      </w:r>
      <w:r>
        <w:rPr>
          <w:u w:val="none"/>
          <w:vertAlign w:val="baseline"/>
        </w:rPr>
        <w:t>and </w:t>
      </w:r>
      <w:hyperlink r:id="rId9">
        <w:r>
          <w:rPr>
            <w:color w:val="0000FF"/>
            <w:u w:val="single" w:color="0000FF"/>
            <w:vertAlign w:val="baseline"/>
          </w:rPr>
          <w:t>Michael.Barnett@PowersLaw.com</w:t>
        </w:r>
      </w:hyperlink>
      <w:r>
        <w:rPr>
          <w:color w:val="0000FF"/>
          <w:u w:val="single" w:color="0000FF"/>
          <w:vertAlign w:val="baseline"/>
        </w:rPr>
        <w:t>,</w:t>
      </w:r>
      <w:r>
        <w:rPr>
          <w:color w:val="0000FF"/>
          <w:u w:val="none"/>
          <w:vertAlign w:val="baseline"/>
        </w:rPr>
        <w:t> </w:t>
      </w:r>
      <w:r>
        <w:rPr>
          <w:u w:val="none"/>
          <w:vertAlign w:val="baseline"/>
        </w:rPr>
        <w:t>by email or by calling </w:t>
      </w:r>
      <w:r>
        <w:rPr>
          <w:spacing w:val="-2"/>
          <w:u w:val="none"/>
          <w:vertAlign w:val="baseline"/>
        </w:rPr>
        <w:t>202-466-6550.</w:t>
      </w:r>
    </w:p>
    <w:p>
      <w:pPr>
        <w:pStyle w:val="BodyText"/>
        <w:spacing w:before="1"/>
        <w:ind w:left="0"/>
      </w:pPr>
    </w:p>
    <w:p>
      <w:pPr>
        <w:pStyle w:val="BodyText"/>
      </w:pPr>
      <w:r>
        <w:rPr>
          <w:spacing w:val="-2"/>
        </w:rPr>
        <w:t>Sincerely,</w:t>
      </w:r>
    </w:p>
    <w:p>
      <w:pPr>
        <w:pStyle w:val="BodyText"/>
        <w:ind w:left="0"/>
      </w:pPr>
    </w:p>
    <w:p>
      <w:pPr>
        <w:pStyle w:val="Heading1"/>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pPr>
      <w:r>
        <w:rPr>
          <w:spacing w:val="-5"/>
        </w:rPr>
        <w:t>3DA</w:t>
      </w:r>
    </w:p>
    <w:p>
      <w:pPr>
        <w:pStyle w:val="BodyText"/>
        <w:ind w:right="6795"/>
      </w:pPr>
      <w:r>
        <w:rPr/>
        <w:t>Access</w:t>
      </w:r>
      <w:r>
        <w:rPr>
          <w:spacing w:val="-15"/>
        </w:rPr>
        <w:t> </w:t>
      </w:r>
      <w:r>
        <w:rPr/>
        <w:t>Ready,</w:t>
      </w:r>
      <w:r>
        <w:rPr>
          <w:spacing w:val="-15"/>
        </w:rPr>
        <w:t> </w:t>
      </w:r>
      <w:r>
        <w:rPr/>
        <w:t>Inc. </w:t>
      </w:r>
      <w:r>
        <w:rPr>
          <w:spacing w:val="-2"/>
        </w:rPr>
        <w:t>ACCSES</w:t>
      </w:r>
    </w:p>
    <w:p>
      <w:pPr>
        <w:pStyle w:val="BodyText"/>
      </w:pPr>
      <w:r>
        <w:rPr/>
        <w:t>AG</w:t>
      </w:r>
      <w:r>
        <w:rPr>
          <w:spacing w:val="-1"/>
        </w:rPr>
        <w:t> </w:t>
      </w:r>
      <w:r>
        <w:rPr>
          <w:spacing w:val="-4"/>
        </w:rPr>
        <w:t>Bell</w:t>
      </w:r>
    </w:p>
    <w:p>
      <w:pPr>
        <w:pStyle w:val="BodyText"/>
        <w:spacing w:before="1"/>
      </w:pPr>
      <w:r>
        <w:rPr/>
        <w:t>All</w:t>
      </w:r>
      <w:r>
        <w:rPr>
          <w:spacing w:val="-2"/>
        </w:rPr>
        <w:t> </w:t>
      </w:r>
      <w:r>
        <w:rPr/>
        <w:t>Wheels</w:t>
      </w:r>
      <w:r>
        <w:rPr>
          <w:spacing w:val="-1"/>
        </w:rPr>
        <w:t> </w:t>
      </w:r>
      <w:r>
        <w:rPr>
          <w:spacing w:val="-5"/>
        </w:rPr>
        <w:t>Up</w:t>
      </w:r>
    </w:p>
    <w:p>
      <w:pPr>
        <w:pStyle w:val="Heading2"/>
        <w:rPr>
          <w:i/>
        </w:rPr>
      </w:pPr>
      <w:r>
        <w:rPr>
          <w:i/>
        </w:rPr>
        <w:t>ALS </w:t>
      </w:r>
      <w:r>
        <w:rPr>
          <w:i/>
          <w:spacing w:val="-2"/>
        </w:rPr>
        <w:t>Association*</w:t>
      </w:r>
    </w:p>
    <w:p>
      <w:pPr>
        <w:pStyle w:val="BodyText"/>
        <w:ind w:right="5028"/>
        <w:rPr>
          <w:b/>
          <w:i/>
        </w:rPr>
      </w:pPr>
      <w:r>
        <w:rPr/>
        <w:t>American Association for Homecare American Cochlear Implant Alliance American Macular Degeneration Foundation American Music Therapy Association American</w:t>
      </w:r>
      <w:r>
        <w:rPr>
          <w:spacing w:val="-14"/>
        </w:rPr>
        <w:t> </w:t>
      </w:r>
      <w:r>
        <w:rPr/>
        <w:t>Therapeutic</w:t>
      </w:r>
      <w:r>
        <w:rPr>
          <w:spacing w:val="-14"/>
        </w:rPr>
        <w:t> </w:t>
      </w:r>
      <w:r>
        <w:rPr/>
        <w:t>Recreation</w:t>
      </w:r>
      <w:r>
        <w:rPr>
          <w:spacing w:val="-14"/>
        </w:rPr>
        <w:t> </w:t>
      </w:r>
      <w:r>
        <w:rPr/>
        <w:t>Association </w:t>
      </w:r>
      <w:r>
        <w:rPr>
          <w:b/>
          <w:i/>
        </w:rPr>
        <w:t>Amputee Coalition*</w:t>
      </w:r>
    </w:p>
    <w:p>
      <w:pPr>
        <w:pStyle w:val="BodyText"/>
        <w:ind w:right="3485"/>
      </w:pPr>
      <w:r>
        <w:rPr/>
        <w:t>Association</w:t>
      </w:r>
      <w:r>
        <w:rPr>
          <w:spacing w:val="-9"/>
        </w:rPr>
        <w:t> </w:t>
      </w:r>
      <w:r>
        <w:rPr/>
        <w:t>of</w:t>
      </w:r>
      <w:r>
        <w:rPr>
          <w:spacing w:val="-9"/>
        </w:rPr>
        <w:t> </w:t>
      </w:r>
      <w:r>
        <w:rPr/>
        <w:t>Assistive</w:t>
      </w:r>
      <w:r>
        <w:rPr>
          <w:spacing w:val="-9"/>
        </w:rPr>
        <w:t> </w:t>
      </w:r>
      <w:r>
        <w:rPr/>
        <w:t>Technology</w:t>
      </w:r>
      <w:r>
        <w:rPr>
          <w:spacing w:val="-9"/>
        </w:rPr>
        <w:t> </w:t>
      </w:r>
      <w:r>
        <w:rPr/>
        <w:t>Act</w:t>
      </w:r>
      <w:r>
        <w:rPr>
          <w:spacing w:val="-9"/>
        </w:rPr>
        <w:t> </w:t>
      </w:r>
      <w:r>
        <w:rPr/>
        <w:t>Programs Association of Rehabilitation Nurses</w:t>
      </w:r>
    </w:p>
    <w:p>
      <w:pPr>
        <w:spacing w:after="0"/>
        <w:sectPr>
          <w:pgSz w:w="12240" w:h="15840"/>
          <w:pgMar w:header="0" w:footer="1325" w:top="1360" w:bottom="1520" w:left="1340" w:right="1320"/>
        </w:sectPr>
      </w:pPr>
    </w:p>
    <w:p>
      <w:pPr>
        <w:pStyle w:val="BodyText"/>
        <w:spacing w:before="79"/>
        <w:ind w:right="5646"/>
      </w:pPr>
      <w:r>
        <w:rPr/>
        <w:t>Autistic</w:t>
      </w:r>
      <w:r>
        <w:rPr>
          <w:spacing w:val="-11"/>
        </w:rPr>
        <w:t> </w:t>
      </w:r>
      <w:r>
        <w:rPr/>
        <w:t>Women</w:t>
      </w:r>
      <w:r>
        <w:rPr>
          <w:spacing w:val="-10"/>
        </w:rPr>
        <w:t> </w:t>
      </w:r>
      <w:r>
        <w:rPr/>
        <w:t>&amp;</w:t>
      </w:r>
      <w:r>
        <w:rPr>
          <w:spacing w:val="-10"/>
        </w:rPr>
        <w:t> </w:t>
      </w:r>
      <w:r>
        <w:rPr/>
        <w:t>Nonbinary</w:t>
      </w:r>
      <w:r>
        <w:rPr>
          <w:spacing w:val="-10"/>
        </w:rPr>
        <w:t> </w:t>
      </w:r>
      <w:r>
        <w:rPr/>
        <w:t>Network Buoniconti Fund to Cure Paralysis Brain Injury Association of America</w:t>
      </w:r>
    </w:p>
    <w:p>
      <w:pPr>
        <w:spacing w:before="0"/>
        <w:ind w:left="100" w:right="5028" w:firstLine="0"/>
        <w:jc w:val="left"/>
        <w:rPr>
          <w:sz w:val="24"/>
        </w:rPr>
      </w:pPr>
      <w:r>
        <w:rPr>
          <w:b/>
          <w:i/>
          <w:sz w:val="24"/>
        </w:rPr>
        <w:t>Christopher</w:t>
      </w:r>
      <w:r>
        <w:rPr>
          <w:b/>
          <w:i/>
          <w:spacing w:val="-9"/>
          <w:sz w:val="24"/>
        </w:rPr>
        <w:t> </w:t>
      </w:r>
      <w:r>
        <w:rPr>
          <w:b/>
          <w:i/>
          <w:sz w:val="24"/>
        </w:rPr>
        <w:t>&amp;</w:t>
      </w:r>
      <w:r>
        <w:rPr>
          <w:b/>
          <w:i/>
          <w:spacing w:val="-9"/>
          <w:sz w:val="24"/>
        </w:rPr>
        <w:t> </w:t>
      </w:r>
      <w:r>
        <w:rPr>
          <w:b/>
          <w:i/>
          <w:sz w:val="24"/>
        </w:rPr>
        <w:t>Dana</w:t>
      </w:r>
      <w:r>
        <w:rPr>
          <w:b/>
          <w:i/>
          <w:spacing w:val="-9"/>
          <w:sz w:val="24"/>
        </w:rPr>
        <w:t> </w:t>
      </w:r>
      <w:r>
        <w:rPr>
          <w:b/>
          <w:i/>
          <w:sz w:val="24"/>
        </w:rPr>
        <w:t>Reeve</w:t>
      </w:r>
      <w:r>
        <w:rPr>
          <w:b/>
          <w:i/>
          <w:spacing w:val="-10"/>
          <w:sz w:val="24"/>
        </w:rPr>
        <w:t> </w:t>
      </w:r>
      <w:r>
        <w:rPr>
          <w:b/>
          <w:i/>
          <w:sz w:val="24"/>
        </w:rPr>
        <w:t>Foundation</w:t>
      </w:r>
      <w:r>
        <w:rPr>
          <w:sz w:val="24"/>
        </w:rPr>
        <w:t>* Clinician Task Force</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 </w:t>
      </w:r>
      <w:r>
        <w:rPr>
          <w:spacing w:val="-2"/>
        </w:rPr>
        <w:t>Technology</w:t>
      </w:r>
    </w:p>
    <w:p>
      <w:pPr>
        <w:pStyle w:val="BodyText"/>
        <w:ind w:right="3485"/>
      </w:pPr>
      <w:r>
        <w:rPr/>
        <w:t>International</w:t>
      </w:r>
      <w:r>
        <w:rPr>
          <w:spacing w:val="-9"/>
        </w:rPr>
        <w:t> </w:t>
      </w:r>
      <w:r>
        <w:rPr/>
        <w:t>Registry</w:t>
      </w:r>
      <w:r>
        <w:rPr>
          <w:spacing w:val="-9"/>
        </w:rPr>
        <w:t> </w:t>
      </w:r>
      <w:r>
        <w:rPr/>
        <w:t>of</w:t>
      </w:r>
      <w:r>
        <w:rPr>
          <w:spacing w:val="-9"/>
        </w:rPr>
        <w:t> </w:t>
      </w:r>
      <w:r>
        <w:rPr/>
        <w:t>Rehabilitation</w:t>
      </w:r>
      <w:r>
        <w:rPr>
          <w:spacing w:val="-9"/>
        </w:rPr>
        <w:t> </w:t>
      </w:r>
      <w:r>
        <w:rPr/>
        <w:t>Technology</w:t>
      </w:r>
      <w:r>
        <w:rPr>
          <w:spacing w:val="-9"/>
        </w:rPr>
        <w:t> </w:t>
      </w:r>
      <w:r>
        <w:rPr/>
        <w:t>Suppliers Long Island Center for Independent Living, Inc.</w:t>
      </w:r>
    </w:p>
    <w:p>
      <w:pPr>
        <w:pStyle w:val="BodyText"/>
        <w:ind w:right="5646"/>
      </w:pPr>
      <w:r>
        <w:rPr/>
        <w:t>Miami Project to Cure Paralysis Muscular</w:t>
      </w:r>
      <w:r>
        <w:rPr>
          <w:spacing w:val="-2"/>
        </w:rPr>
        <w:t> </w:t>
      </w:r>
      <w:r>
        <w:rPr/>
        <w:t>Dystrophy</w:t>
      </w:r>
      <w:r>
        <w:rPr>
          <w:spacing w:val="-1"/>
        </w:rPr>
        <w:t> </w:t>
      </w:r>
      <w:r>
        <w:rPr>
          <w:spacing w:val="-2"/>
        </w:rPr>
        <w:t>Association</w:t>
      </w:r>
    </w:p>
    <w:p>
      <w:pPr>
        <w:pStyle w:val="BodyText"/>
        <w:ind w:right="2501"/>
      </w:pPr>
      <w:r>
        <w:rPr/>
        <w:t>National Association for the Advancement of</w:t>
      </w:r>
      <w:r>
        <w:rPr>
          <w:spacing w:val="-1"/>
        </w:rPr>
        <w:t> </w:t>
      </w:r>
      <w:r>
        <w:rPr/>
        <w:t>Orthotics &amp; Prosthetics National Association of Councils on Developmental Disabilities National</w:t>
      </w:r>
      <w:r>
        <w:rPr>
          <w:spacing w:val="-7"/>
        </w:rPr>
        <w:t> </w:t>
      </w:r>
      <w:r>
        <w:rPr/>
        <w:t>Association</w:t>
      </w:r>
      <w:r>
        <w:rPr>
          <w:spacing w:val="-7"/>
        </w:rPr>
        <w:t> </w:t>
      </w:r>
      <w:r>
        <w:rPr/>
        <w:t>of</w:t>
      </w:r>
      <w:r>
        <w:rPr>
          <w:spacing w:val="-6"/>
        </w:rPr>
        <w:t> </w:t>
      </w:r>
      <w:r>
        <w:rPr/>
        <w:t>Rehabilitation</w:t>
      </w:r>
      <w:r>
        <w:rPr>
          <w:spacing w:val="-7"/>
        </w:rPr>
        <w:t> </w:t>
      </w:r>
      <w:r>
        <w:rPr/>
        <w:t>Research</w:t>
      </w:r>
      <w:r>
        <w:rPr>
          <w:spacing w:val="-5"/>
        </w:rPr>
        <w:t> </w:t>
      </w:r>
      <w:r>
        <w:rPr/>
        <w:t>and</w:t>
      </w:r>
      <w:r>
        <w:rPr>
          <w:spacing w:val="-7"/>
        </w:rPr>
        <w:t> </w:t>
      </w:r>
      <w:r>
        <w:rPr/>
        <w:t>Training</w:t>
      </w:r>
      <w:r>
        <w:rPr>
          <w:spacing w:val="-7"/>
        </w:rPr>
        <w:t> </w:t>
      </w:r>
      <w:r>
        <w:rPr/>
        <w:t>Centers National Coalition for Assistive &amp; Rehab Technology</w:t>
      </w:r>
    </w:p>
    <w:p>
      <w:pPr>
        <w:pStyle w:val="BodyText"/>
        <w:spacing w:before="1"/>
        <w:ind w:right="5646"/>
      </w:pPr>
      <w:r>
        <w:rPr/>
        <w:t>National</w:t>
      </w:r>
      <w:r>
        <w:rPr>
          <w:spacing w:val="-14"/>
        </w:rPr>
        <w:t> </w:t>
      </w:r>
      <w:r>
        <w:rPr/>
        <w:t>Disability</w:t>
      </w:r>
      <w:r>
        <w:rPr>
          <w:spacing w:val="-14"/>
        </w:rPr>
        <w:t> </w:t>
      </w:r>
      <w:r>
        <w:rPr/>
        <w:t>Rights</w:t>
      </w:r>
      <w:r>
        <w:rPr>
          <w:spacing w:val="-14"/>
        </w:rPr>
        <w:t> </w:t>
      </w:r>
      <w:r>
        <w:rPr/>
        <w:t>Network </w:t>
      </w:r>
      <w:r>
        <w:rPr>
          <w:spacing w:val="-2"/>
        </w:rPr>
        <w:t>RESNA</w:t>
      </w:r>
    </w:p>
    <w:p>
      <w:pPr>
        <w:pStyle w:val="BodyText"/>
      </w:pPr>
      <w:r>
        <w:rPr/>
        <w:t>Rifton </w:t>
      </w:r>
      <w:r>
        <w:rPr>
          <w:spacing w:val="-2"/>
        </w:rPr>
        <w:t>Equipment</w:t>
      </w:r>
    </w:p>
    <w:p>
      <w:pPr>
        <w:pStyle w:val="BodyText"/>
      </w:pPr>
      <w:r>
        <w:rPr/>
        <w:t>Simon</w:t>
      </w:r>
      <w:r>
        <w:rPr>
          <w:spacing w:val="-2"/>
        </w:rPr>
        <w:t> </w:t>
      </w:r>
      <w:r>
        <w:rPr/>
        <w:t>Foundation</w:t>
      </w:r>
      <w:r>
        <w:rPr>
          <w:spacing w:val="-1"/>
        </w:rPr>
        <w:t> </w:t>
      </w:r>
      <w:r>
        <w:rPr/>
        <w:t>for</w:t>
      </w:r>
      <w:r>
        <w:rPr>
          <w:spacing w:val="-1"/>
        </w:rPr>
        <w:t> </w:t>
      </w:r>
      <w:r>
        <w:rPr>
          <w:spacing w:val="-2"/>
        </w:rPr>
        <w:t>Continence</w:t>
      </w:r>
    </w:p>
    <w:p>
      <w:pPr>
        <w:spacing w:before="0"/>
        <w:ind w:left="100" w:right="6781" w:firstLine="0"/>
        <w:jc w:val="left"/>
        <w:rPr>
          <w:sz w:val="24"/>
        </w:rPr>
      </w:pPr>
      <w:r>
        <w:rPr>
          <w:b/>
          <w:i/>
          <w:sz w:val="24"/>
        </w:rPr>
        <w:t>Spina Bifida Association*</w:t>
      </w:r>
      <w:r>
        <w:rPr>
          <w:b/>
          <w:i/>
          <w:sz w:val="24"/>
        </w:rPr>
        <w:t> </w:t>
      </w:r>
      <w:r>
        <w:rPr>
          <w:sz w:val="24"/>
        </w:rPr>
        <w:t>Unite 2 Fight Paralysis </w:t>
      </w:r>
      <w:r>
        <w:rPr>
          <w:b/>
          <w:i/>
          <w:sz w:val="24"/>
        </w:rPr>
        <w:t>United</w:t>
      </w:r>
      <w:r>
        <w:rPr>
          <w:b/>
          <w:i/>
          <w:spacing w:val="-15"/>
          <w:sz w:val="24"/>
        </w:rPr>
        <w:t> </w:t>
      </w:r>
      <w:r>
        <w:rPr>
          <w:b/>
          <w:i/>
          <w:sz w:val="24"/>
        </w:rPr>
        <w:t>Spinal</w:t>
      </w:r>
      <w:r>
        <w:rPr>
          <w:b/>
          <w:i/>
          <w:spacing w:val="-15"/>
          <w:sz w:val="24"/>
        </w:rPr>
        <w:t> </w:t>
      </w:r>
      <w:r>
        <w:rPr>
          <w:b/>
          <w:i/>
          <w:sz w:val="24"/>
        </w:rPr>
        <w:t>Association</w:t>
      </w:r>
      <w:r>
        <w:rPr>
          <w:sz w:val="24"/>
        </w:rPr>
        <w:t>* Viscardi Center VisionServe Alliance</w:t>
      </w:r>
    </w:p>
    <w:p>
      <w:pPr>
        <w:pStyle w:val="BodyText"/>
        <w:spacing w:before="1"/>
        <w:ind w:left="0"/>
      </w:pPr>
    </w:p>
    <w:p>
      <w:pPr>
        <w:pStyle w:val="Heading2"/>
        <w:rPr>
          <w:i/>
        </w:rPr>
      </w:pPr>
      <w:r>
        <w:rPr>
          <w:i/>
        </w:rPr>
        <w:t>*ITEM</w:t>
      </w:r>
      <w:r>
        <w:rPr>
          <w:i/>
          <w:spacing w:val="-5"/>
        </w:rPr>
        <w:t> </w:t>
      </w:r>
      <w:r>
        <w:rPr>
          <w:i/>
        </w:rPr>
        <w:t>Coalition</w:t>
      </w:r>
      <w:r>
        <w:rPr>
          <w:i/>
          <w:spacing w:val="-1"/>
        </w:rPr>
        <w:t> </w:t>
      </w:r>
      <w:r>
        <w:rPr>
          <w:i/>
        </w:rPr>
        <w:t>Steering</w:t>
      </w:r>
      <w:r>
        <w:rPr>
          <w:i/>
          <w:spacing w:val="-2"/>
        </w:rPr>
        <w:t> </w:t>
      </w:r>
      <w:r>
        <w:rPr>
          <w:i/>
        </w:rPr>
        <w:t>Committee</w:t>
      </w:r>
      <w:r>
        <w:rPr>
          <w:i/>
          <w:spacing w:val="-3"/>
        </w:rPr>
        <w:t> </w:t>
      </w:r>
      <w:r>
        <w:rPr>
          <w:i/>
          <w:spacing w:val="-2"/>
        </w:rPr>
        <w:t>Member</w:t>
      </w:r>
    </w:p>
    <w:p>
      <w:pPr>
        <w:pStyle w:val="BodyText"/>
        <w:ind w:left="0"/>
        <w:rPr>
          <w:b/>
          <w:i/>
        </w:rPr>
      </w:pPr>
    </w:p>
    <w:p>
      <w:pPr>
        <w:spacing w:before="0"/>
        <w:ind w:left="100" w:right="0" w:firstLine="0"/>
        <w:jc w:val="left"/>
        <w:rPr>
          <w:b/>
          <w:sz w:val="24"/>
        </w:rPr>
      </w:pPr>
      <w:r>
        <w:rPr>
          <w:b/>
          <w:spacing w:val="-5"/>
          <w:sz w:val="24"/>
        </w:rPr>
        <w:t>CC:</w:t>
      </w:r>
    </w:p>
    <w:p>
      <w:pPr>
        <w:pStyle w:val="BodyText"/>
        <w:ind w:left="0"/>
        <w:rPr>
          <w:b/>
        </w:rPr>
      </w:pPr>
    </w:p>
    <w:p>
      <w:pPr>
        <w:pStyle w:val="BodyText"/>
        <w:ind w:right="5028"/>
      </w:pPr>
      <w:r>
        <w:rPr/>
        <w:t>The</w:t>
      </w:r>
      <w:r>
        <w:rPr>
          <w:spacing w:val="-14"/>
        </w:rPr>
        <w:t> </w:t>
      </w:r>
      <w:r>
        <w:rPr/>
        <w:t>Honorable</w:t>
      </w:r>
      <w:r>
        <w:rPr>
          <w:spacing w:val="-13"/>
        </w:rPr>
        <w:t> </w:t>
      </w:r>
      <w:r>
        <w:rPr/>
        <w:t>Chiquita</w:t>
      </w:r>
      <w:r>
        <w:rPr>
          <w:spacing w:val="-12"/>
        </w:rPr>
        <w:t> </w:t>
      </w:r>
      <w:r>
        <w:rPr/>
        <w:t>Brooks-LaSure </w:t>
      </w:r>
      <w:r>
        <w:rPr>
          <w:spacing w:val="-2"/>
        </w:rPr>
        <w:t>Administrator</w:t>
      </w:r>
    </w:p>
    <w:p>
      <w:pPr>
        <w:pStyle w:val="BodyText"/>
        <w:ind w:right="5028"/>
      </w:pPr>
      <w:r>
        <w:rPr/>
        <w:t>Centers</w:t>
      </w:r>
      <w:r>
        <w:rPr>
          <w:spacing w:val="-8"/>
        </w:rPr>
        <w:t> </w:t>
      </w:r>
      <w:r>
        <w:rPr/>
        <w:t>for</w:t>
      </w:r>
      <w:r>
        <w:rPr>
          <w:spacing w:val="-10"/>
        </w:rPr>
        <w:t> </w:t>
      </w:r>
      <w:r>
        <w:rPr/>
        <w:t>Medicare</w:t>
      </w:r>
      <w:r>
        <w:rPr>
          <w:spacing w:val="-9"/>
        </w:rPr>
        <w:t> </w:t>
      </w:r>
      <w:r>
        <w:rPr/>
        <w:t>and</w:t>
      </w:r>
      <w:r>
        <w:rPr>
          <w:spacing w:val="-7"/>
        </w:rPr>
        <w:t> </w:t>
      </w:r>
      <w:r>
        <w:rPr/>
        <w:t>Medicaid</w:t>
      </w:r>
      <w:r>
        <w:rPr>
          <w:spacing w:val="-8"/>
        </w:rPr>
        <w:t> </w:t>
      </w:r>
      <w:r>
        <w:rPr/>
        <w:t>Services 7500 Security Boulevard</w:t>
      </w:r>
    </w:p>
    <w:p>
      <w:pPr>
        <w:pStyle w:val="BodyText"/>
      </w:pPr>
      <w:r>
        <w:rPr/>
        <w:t>Baltimore,</w:t>
      </w:r>
      <w:r>
        <w:rPr>
          <w:spacing w:val="-4"/>
        </w:rPr>
        <w:t> </w:t>
      </w:r>
      <w:r>
        <w:rPr/>
        <w:t>MD</w:t>
      </w:r>
      <w:r>
        <w:rPr>
          <w:spacing w:val="-1"/>
        </w:rPr>
        <w:t> </w:t>
      </w:r>
      <w:r>
        <w:rPr>
          <w:spacing w:val="-2"/>
        </w:rPr>
        <w:t>21244</w:t>
      </w:r>
    </w:p>
    <w:sectPr>
      <w:pgSz w:w="12240" w:h="15840"/>
      <w:pgMar w:header="0" w:footer="1325" w:top="1360" w:bottom="15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2816">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9366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Letter in Support of DME Access (Final) (D1151148).DOCX</dc:title>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for Microsoft 365</vt:lpwstr>
  </property>
  <property fmtid="{D5CDD505-2E9C-101B-9397-08002B2CF9AE}" pid="4" name="LastSaved">
    <vt:filetime>2025-02-02T00:00:00Z</vt:filetime>
  </property>
  <property fmtid="{D5CDD505-2E9C-101B-9397-08002B2CF9AE}" pid="5" name="Producer">
    <vt:lpwstr>Microsoft® Word for Microsoft 365</vt:lpwstr>
  </property>
</Properties>
</file>